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E51C8" w14:textId="104D3842" w:rsidR="006361ED" w:rsidRPr="006361ED" w:rsidRDefault="007560B7" w:rsidP="00601374">
      <w:pPr>
        <w:tabs>
          <w:tab w:val="right" w:pos="9900"/>
        </w:tabs>
        <w:kinsoku w:val="0"/>
        <w:wordWrap/>
        <w:overflowPunct w:val="0"/>
        <w:rPr>
          <w:rFonts w:ascii="Arial" w:hAnsi="Arial" w:cs="Arial"/>
          <w:b/>
          <w:bCs/>
        </w:rPr>
      </w:pPr>
      <w:bookmarkStart w:id="0" w:name="_Hlk506372364"/>
      <w:r w:rsidRPr="00876D6D">
        <w:rPr>
          <w:rFonts w:ascii="Arial" w:hAnsi="Arial" w:cs="Arial"/>
          <w:b/>
          <w:bCs/>
        </w:rPr>
        <w:t xml:space="preserve">3GPP TSG RAN WG1 Meeting </w:t>
      </w:r>
      <w:bookmarkEnd w:id="0"/>
      <w:r w:rsidR="00E96F2C">
        <w:rPr>
          <w:rFonts w:ascii="Arial" w:hAnsi="Arial" w:cs="Arial"/>
          <w:b/>
          <w:bCs/>
        </w:rPr>
        <w:t>#94</w:t>
      </w:r>
      <w:r w:rsidR="003B0DA8">
        <w:rPr>
          <w:rFonts w:ascii="Arial" w:hAnsi="Arial" w:cs="Arial"/>
          <w:b/>
          <w:bCs/>
        </w:rPr>
        <w:t>bis</w:t>
      </w:r>
      <w:r w:rsidR="003B0DA8">
        <w:rPr>
          <w:rFonts w:ascii="Arial" w:hAnsi="Arial" w:cs="Arial"/>
          <w:b/>
          <w:bCs/>
        </w:rPr>
        <w:tab/>
        <w:t>R1-18</w:t>
      </w:r>
      <w:r w:rsidR="00A82125">
        <w:rPr>
          <w:rFonts w:ascii="Arial" w:hAnsi="Arial" w:cs="Arial"/>
          <w:b/>
          <w:bCs/>
        </w:rPr>
        <w:t>11249</w:t>
      </w:r>
    </w:p>
    <w:p w14:paraId="59940B45" w14:textId="0D777EDD" w:rsidR="006361ED" w:rsidRPr="006361ED" w:rsidRDefault="003B0DA8" w:rsidP="00601374">
      <w:pPr>
        <w:tabs>
          <w:tab w:val="right" w:pos="9900"/>
        </w:tabs>
        <w:kinsoku w:val="0"/>
        <w:wordWrap/>
        <w:overflowPunct w:val="0"/>
        <w:rPr>
          <w:rFonts w:ascii="Arial" w:hAnsi="Arial" w:cs="Arial"/>
          <w:b/>
          <w:bCs/>
        </w:rPr>
      </w:pPr>
      <w:r>
        <w:rPr>
          <w:rFonts w:ascii="Arial" w:hAnsi="Arial" w:cs="Arial"/>
          <w:b/>
          <w:bCs/>
        </w:rPr>
        <w:t>Chengdu</w:t>
      </w:r>
      <w:r w:rsidR="006361ED" w:rsidRPr="006361ED">
        <w:rPr>
          <w:rFonts w:ascii="Arial" w:hAnsi="Arial" w:cs="Arial"/>
          <w:b/>
          <w:bCs/>
        </w:rPr>
        <w:t xml:space="preserve">, </w:t>
      </w:r>
      <w:r>
        <w:rPr>
          <w:rFonts w:ascii="Arial" w:hAnsi="Arial" w:cs="Arial"/>
          <w:b/>
          <w:bCs/>
        </w:rPr>
        <w:t>China</w:t>
      </w:r>
    </w:p>
    <w:p w14:paraId="1F8136F3" w14:textId="4E9AC230" w:rsidR="006361ED" w:rsidRPr="006361ED" w:rsidRDefault="003B0DA8" w:rsidP="00601374">
      <w:pPr>
        <w:tabs>
          <w:tab w:val="right" w:pos="9900"/>
        </w:tabs>
        <w:kinsoku w:val="0"/>
        <w:wordWrap/>
        <w:overflowPunct w:val="0"/>
        <w:rPr>
          <w:rFonts w:ascii="Arial" w:hAnsi="Arial" w:cs="Arial"/>
          <w:b/>
          <w:bCs/>
        </w:rPr>
      </w:pPr>
      <w:r>
        <w:rPr>
          <w:rFonts w:ascii="Arial" w:hAnsi="Arial" w:cs="Arial"/>
          <w:b/>
          <w:bCs/>
        </w:rPr>
        <w:t>Oct</w:t>
      </w:r>
      <w:r w:rsidR="006361ED" w:rsidRPr="006361ED">
        <w:rPr>
          <w:rFonts w:ascii="Arial" w:hAnsi="Arial" w:cs="Arial"/>
          <w:b/>
          <w:bCs/>
        </w:rPr>
        <w:t xml:space="preserve">. </w:t>
      </w:r>
      <w:r>
        <w:rPr>
          <w:rFonts w:ascii="Arial" w:hAnsi="Arial" w:cs="Arial"/>
          <w:b/>
          <w:bCs/>
        </w:rPr>
        <w:t>8</w:t>
      </w:r>
      <w:r w:rsidR="006361ED" w:rsidRPr="006361ED">
        <w:rPr>
          <w:rFonts w:ascii="Arial" w:hAnsi="Arial" w:cs="Arial"/>
          <w:b/>
          <w:bCs/>
        </w:rPr>
        <w:t xml:space="preserve">th – </w:t>
      </w:r>
      <w:r>
        <w:rPr>
          <w:rFonts w:ascii="Arial" w:hAnsi="Arial" w:cs="Arial"/>
          <w:b/>
          <w:bCs/>
        </w:rPr>
        <w:t>Oct</w:t>
      </w:r>
      <w:r w:rsidR="006361ED" w:rsidRPr="006361ED">
        <w:rPr>
          <w:rFonts w:ascii="Arial" w:hAnsi="Arial" w:cs="Arial"/>
          <w:b/>
          <w:bCs/>
        </w:rPr>
        <w:t xml:space="preserve">. </w:t>
      </w:r>
      <w:r>
        <w:rPr>
          <w:rFonts w:ascii="Arial" w:hAnsi="Arial" w:cs="Arial"/>
          <w:b/>
          <w:bCs/>
        </w:rPr>
        <w:t>12</w:t>
      </w:r>
      <w:r w:rsidR="006361ED" w:rsidRPr="006361ED">
        <w:rPr>
          <w:rFonts w:ascii="Arial" w:hAnsi="Arial" w:cs="Arial"/>
          <w:b/>
          <w:bCs/>
        </w:rPr>
        <w:t xml:space="preserve">th, 2018  </w:t>
      </w:r>
    </w:p>
    <w:p w14:paraId="2D93957C" w14:textId="601E71BD" w:rsidR="003520EB" w:rsidRPr="000F29F8" w:rsidRDefault="003520EB" w:rsidP="00601374">
      <w:pPr>
        <w:tabs>
          <w:tab w:val="right" w:pos="9360"/>
          <w:tab w:val="right" w:pos="9781"/>
        </w:tabs>
        <w:kinsoku w:val="0"/>
        <w:wordWrap/>
        <w:overflowPunct w:val="0"/>
        <w:ind w:right="-58"/>
        <w:rPr>
          <w:rFonts w:ascii="Arial" w:eastAsia="SimSun" w:hAnsi="Arial" w:cs="Arial"/>
          <w:b/>
          <w:kern w:val="0"/>
          <w:sz w:val="24"/>
          <w:lang w:eastAsia="en-US"/>
        </w:rPr>
      </w:pPr>
    </w:p>
    <w:p w14:paraId="399F8BF5" w14:textId="2633A634" w:rsidR="007560B7" w:rsidRPr="00876D6D" w:rsidRDefault="007560B7" w:rsidP="00601374">
      <w:pPr>
        <w:kinsoku w:val="0"/>
        <w:wordWrap/>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p>
    <w:p w14:paraId="38C90A73" w14:textId="77777777" w:rsidR="007560B7" w:rsidRPr="00876D6D" w:rsidRDefault="007560B7" w:rsidP="00601374">
      <w:pPr>
        <w:kinsoku w:val="0"/>
        <w:wordWrap/>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06DB71F7" w:rsidR="00335B11" w:rsidRPr="00876D6D" w:rsidRDefault="007560B7" w:rsidP="00601374">
      <w:pPr>
        <w:kinsoku w:val="0"/>
        <w:wordWrap/>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bookmarkStart w:id="1" w:name="_Hlk506208025"/>
      <w:r w:rsidR="003D42DC" w:rsidRPr="00876D6D">
        <w:rPr>
          <w:rFonts w:ascii="Arial" w:hAnsi="Arial" w:cs="Arial"/>
          <w:b/>
          <w:snapToGrid w:val="0"/>
        </w:rPr>
        <w:t>TxOP Frame Structure for NR unlicensed</w:t>
      </w:r>
      <w:bookmarkEnd w:id="1"/>
    </w:p>
    <w:p w14:paraId="62BEAD57" w14:textId="737004AB" w:rsidR="007560B7" w:rsidRPr="00876D6D" w:rsidRDefault="007560B7" w:rsidP="00601374">
      <w:pPr>
        <w:kinsoku w:val="0"/>
        <w:wordWrap/>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102F6880" w14:textId="77777777" w:rsidR="006361ED" w:rsidRPr="006361ED" w:rsidRDefault="006361ED" w:rsidP="00601374">
      <w:pPr>
        <w:pStyle w:val="LGTdoc1"/>
        <w:kinsoku w:val="0"/>
        <w:overflowPunct w:val="0"/>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05C8A9E8" w14:textId="77777777" w:rsidR="006361ED" w:rsidRPr="006361ED" w:rsidRDefault="006361ED" w:rsidP="00601374">
      <w:pPr>
        <w:pStyle w:val="LGTdoc1"/>
        <w:numPr>
          <w:ilvl w:val="0"/>
          <w:numId w:val="29"/>
        </w:numPr>
        <w:kinsoku w:val="0"/>
        <w:overflowPunct w:val="0"/>
        <w:spacing w:beforeLines="0" w:before="120" w:after="0" w:afterAutospacing="0"/>
        <w:rPr>
          <w:b w:val="0"/>
          <w:sz w:val="20"/>
        </w:rPr>
      </w:pPr>
      <w:r w:rsidRPr="006361ED">
        <w:rPr>
          <w:b w:val="0"/>
          <w:sz w:val="20"/>
        </w:rPr>
        <w:t xml:space="preserve">Study NR-based operation in unlicensed spectrum (RAN1, RAN2, RAN4) including </w:t>
      </w:r>
    </w:p>
    <w:p w14:paraId="7E2ACD9E"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1F2A46"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b w:val="0"/>
          <w:sz w:val="20"/>
        </w:rPr>
        <w:t>Consider unlicensed bands below 7GHz</w:t>
      </w:r>
    </w:p>
    <w:p w14:paraId="05A58D49"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3B29D26E"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4E7AA68B"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52540181"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3D4A85" w14:textId="0641CA9F" w:rsidR="00830E76" w:rsidRPr="0093482D" w:rsidRDefault="00830E76" w:rsidP="00601374">
      <w:pPr>
        <w:pStyle w:val="LGTdoc1"/>
        <w:kinsoku w:val="0"/>
        <w:overflowPunct w:val="0"/>
        <w:spacing w:beforeLines="0" w:before="120" w:after="0" w:afterAutospacing="0"/>
        <w:rPr>
          <w:b w:val="0"/>
          <w:sz w:val="20"/>
        </w:rPr>
      </w:pPr>
      <w:r w:rsidRPr="0099677A">
        <w:rPr>
          <w:b w:val="0"/>
          <w:sz w:val="20"/>
        </w:rPr>
        <w:t xml:space="preserve">In </w:t>
      </w:r>
      <w:r>
        <w:rPr>
          <w:b w:val="0"/>
          <w:sz w:val="20"/>
        </w:rPr>
        <w:t xml:space="preserve">RAN1#92bis </w:t>
      </w:r>
      <w:r w:rsidR="00590F5D">
        <w:rPr>
          <w:b w:val="0"/>
          <w:sz w:val="20"/>
        </w:rPr>
        <w:t xml:space="preserve">and RAN1#93 </w:t>
      </w:r>
      <w:r>
        <w:rPr>
          <w:b w:val="0"/>
          <w:sz w:val="20"/>
        </w:rPr>
        <w:t>the following w</w:t>
      </w:r>
      <w:r w:rsidR="00EF639A">
        <w:rPr>
          <w:b w:val="0"/>
          <w:sz w:val="20"/>
        </w:rPr>
        <w:t>ere</w:t>
      </w:r>
      <w:r>
        <w:rPr>
          <w:b w:val="0"/>
          <w:sz w:val="20"/>
        </w:rPr>
        <w:t xml:space="preserve"> agreed </w:t>
      </w:r>
      <w:r w:rsidR="009A044C">
        <w:rPr>
          <w:b w:val="0"/>
          <w:sz w:val="20"/>
        </w:rPr>
        <w:t>in regard to</w:t>
      </w:r>
      <w:r>
        <w:rPr>
          <w:b w:val="0"/>
          <w:sz w:val="20"/>
        </w:rPr>
        <w:t xml:space="preserve"> the frame structure and SCS.</w:t>
      </w:r>
    </w:p>
    <w:p w14:paraId="0660B878"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 xml:space="preserve">NR-U supports both Type-A and Type-B mapping already supported in NR </w:t>
      </w:r>
    </w:p>
    <w:p w14:paraId="479199A7"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Additional starting positions and durations are not precluded</w:t>
      </w:r>
    </w:p>
    <w:p w14:paraId="37C06F24"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For sub-7 GHz, NR-U study the SCSs, 15/30/60KHz</w:t>
      </w:r>
    </w:p>
    <w:p w14:paraId="6C7478E4"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Study performance difference between different SCS</w:t>
      </w:r>
    </w:p>
    <w:p w14:paraId="4B4EA13D"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Study if changes to UL design are needed to meet the PSD and OCB requirements</w:t>
      </w:r>
    </w:p>
    <w:p w14:paraId="228C75E8"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Study if an SS block design/RMSI/OSI with 60KHz SCS is needed </w:t>
      </w:r>
    </w:p>
    <w:p w14:paraId="01940978"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Impact on MIB and SIB1 content </w:t>
      </w:r>
    </w:p>
    <w:p w14:paraId="273BFF50"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Need for use of ECP for 60KHz</w:t>
      </w:r>
    </w:p>
    <w:p w14:paraId="43BE54D0"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RACH design with 60KHz SCS in addition to options currently part of NR</w:t>
      </w:r>
    </w:p>
    <w:p w14:paraId="77C8901B"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Other considerations are not precluded. </w:t>
      </w:r>
    </w:p>
    <w:p w14:paraId="644D4A8D"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Impact on support of different BWs with different SCS</w:t>
      </w:r>
    </w:p>
    <w:p w14:paraId="0431EF0C"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Study supporting more than one switching points within a TxOP</w:t>
      </w:r>
    </w:p>
    <w:p w14:paraId="0818F283" w14:textId="7BB929A4" w:rsidR="00590F5D" w:rsidRPr="00590F5D" w:rsidRDefault="00830E76" w:rsidP="00601374">
      <w:pPr>
        <w:numPr>
          <w:ilvl w:val="1"/>
          <w:numId w:val="27"/>
        </w:numPr>
        <w:kinsoku w:val="0"/>
        <w:wordWrap/>
        <w:overflowPunct w:val="0"/>
        <w:autoSpaceDE/>
        <w:autoSpaceDN/>
        <w:rPr>
          <w:rFonts w:ascii="Times New Roman"/>
        </w:rPr>
      </w:pPr>
      <w:r w:rsidRPr="0093482D">
        <w:rPr>
          <w:rFonts w:ascii="Times New Roman"/>
        </w:rPr>
        <w:t>FFS the LBT requirement for each DL/UL data/control burst in the TxOP</w:t>
      </w:r>
    </w:p>
    <w:p w14:paraId="0946371B" w14:textId="77777777" w:rsidR="00590F5D" w:rsidRPr="00590F5D" w:rsidRDefault="00590F5D" w:rsidP="00601374">
      <w:pPr>
        <w:numPr>
          <w:ilvl w:val="0"/>
          <w:numId w:val="27"/>
        </w:numPr>
        <w:kinsoku w:val="0"/>
        <w:wordWrap/>
        <w:overflowPunct w:val="0"/>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65BCBCAE"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LBT requirements to support single or multiple switching points, include</w:t>
      </w:r>
    </w:p>
    <w:p w14:paraId="149F500E"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less than 16us: no-LBT can be used </w:t>
      </w:r>
    </w:p>
    <w:p w14:paraId="3ECEF1B1"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241AED84"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above 16us but does not exceed 25us: one-shot LBT can be used </w:t>
      </w:r>
    </w:p>
    <w:p w14:paraId="3816AF1B"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59486397"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49218E51"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275D99EF"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lastRenderedPageBreak/>
        <w:t>FFS: For multiple switching points, for the gap from DL transmission to UL transmission exceeds 25us, one-shot LBT is used. Regulations for this option.</w:t>
      </w:r>
    </w:p>
    <w:p w14:paraId="5E3D3188" w14:textId="77777777" w:rsidR="00590F5D" w:rsidRPr="00590F5D" w:rsidRDefault="00590F5D" w:rsidP="00601374">
      <w:pPr>
        <w:numPr>
          <w:ilvl w:val="0"/>
          <w:numId w:val="27"/>
        </w:numPr>
        <w:kinsoku w:val="0"/>
        <w:wordWrap/>
        <w:overflowPunct w:val="0"/>
        <w:autoSpaceDE/>
        <w:autoSpaceDN/>
        <w:rPr>
          <w:rFonts w:ascii="Times New Roman"/>
          <w:lang w:val="en-GB"/>
        </w:rPr>
      </w:pPr>
      <w:r w:rsidRPr="00590F5D">
        <w:rPr>
          <w:rFonts w:ascii="Times New Roman"/>
        </w:rPr>
        <w:t>Study FBE (as in the ETSI BRAN specifications) based frame structure</w:t>
      </w:r>
    </w:p>
    <w:p w14:paraId="6CA21DF9"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Identify the changes needed to support FBE operation of NR-U</w:t>
      </w:r>
    </w:p>
    <w:p w14:paraId="2264C50E" w14:textId="77777777" w:rsidR="00590F5D" w:rsidRPr="00590F5D" w:rsidRDefault="00590F5D" w:rsidP="00601374">
      <w:pPr>
        <w:numPr>
          <w:ilvl w:val="2"/>
          <w:numId w:val="30"/>
        </w:numPr>
        <w:kinsoku w:val="0"/>
        <w:wordWrap/>
        <w:overflowPunct w:val="0"/>
        <w:autoSpaceDE/>
        <w:autoSpaceDN/>
        <w:rPr>
          <w:rFonts w:ascii="Times New Roman"/>
          <w:lang w:val="en-GB"/>
        </w:rPr>
      </w:pPr>
      <w:r w:rsidRPr="00590F5D">
        <w:rPr>
          <w:rFonts w:ascii="Times New Roman"/>
          <w:lang w:val="en-GB"/>
        </w:rPr>
        <w:t xml:space="preserve">Restrictions/conditions on when FBE option can be used will be further identified, in consideration of fair coexistence. </w:t>
      </w:r>
    </w:p>
    <w:p w14:paraId="0EE87DA2"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Strive to minimize the change from current NR design</w:t>
      </w:r>
    </w:p>
    <w:p w14:paraId="13825C25" w14:textId="77777777" w:rsidR="00590F5D" w:rsidRPr="00590F5D" w:rsidRDefault="00590F5D" w:rsidP="00601374">
      <w:pPr>
        <w:numPr>
          <w:ilvl w:val="0"/>
          <w:numId w:val="27"/>
        </w:numPr>
        <w:kinsoku w:val="0"/>
        <w:wordWrap/>
        <w:overflowPunct w:val="0"/>
        <w:autoSpaceDE/>
        <w:autoSpaceDN/>
        <w:rPr>
          <w:rFonts w:ascii="Times New Roman"/>
        </w:rPr>
      </w:pPr>
      <w:r w:rsidRPr="00590F5D">
        <w:rPr>
          <w:rFonts w:ascii="Times New Roman"/>
        </w:rPr>
        <w:t xml:space="preserve">Benefits of using a signal that facilitates its detection with low complexity can be investigated including all/part of the following scenarios/use cases: </w:t>
      </w:r>
    </w:p>
    <w:p w14:paraId="0B15A633"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UE power saving</w:t>
      </w:r>
    </w:p>
    <w:p w14:paraId="5895B330"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Improved coexistence</w:t>
      </w:r>
    </w:p>
    <w:p w14:paraId="02082F47"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 xml:space="preserve">Spatial reuse at least within the same operator network </w:t>
      </w:r>
    </w:p>
    <w:p w14:paraId="0F0A6D6B"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Serving cell transmission burst acquisition</w:t>
      </w:r>
    </w:p>
    <w:p w14:paraId="1E146550"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FFS: further usage scenarios</w:t>
      </w:r>
    </w:p>
    <w:p w14:paraId="15984D44" w14:textId="77777777" w:rsidR="00590F5D" w:rsidRPr="0093482D" w:rsidRDefault="00590F5D" w:rsidP="00601374">
      <w:pPr>
        <w:kinsoku w:val="0"/>
        <w:wordWrap/>
        <w:overflowPunct w:val="0"/>
        <w:autoSpaceDE/>
        <w:autoSpaceDN/>
        <w:rPr>
          <w:rFonts w:ascii="Times New Roman"/>
        </w:rPr>
      </w:pPr>
    </w:p>
    <w:p w14:paraId="66284953" w14:textId="6A292D1A" w:rsidR="00B559A2" w:rsidRDefault="00B559A2" w:rsidP="00601374">
      <w:pPr>
        <w:pStyle w:val="LGTdoc1"/>
        <w:kinsoku w:val="0"/>
        <w:overflowPunct w:val="0"/>
        <w:spacing w:beforeLines="0" w:before="120" w:after="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w:t>
      </w:r>
      <w:r w:rsidR="00830E76">
        <w:rPr>
          <w:b w:val="0"/>
          <w:sz w:val="20"/>
        </w:rPr>
        <w:t xml:space="preserve">the </w:t>
      </w:r>
      <w:r w:rsidR="00727A74" w:rsidRPr="0099677A">
        <w:rPr>
          <w:b w:val="0"/>
          <w:sz w:val="20"/>
        </w:rPr>
        <w:t>frame structure</w:t>
      </w:r>
      <w:r w:rsidR="00830E76">
        <w:rPr>
          <w:b w:val="0"/>
          <w:sz w:val="20"/>
        </w:rPr>
        <w:t>, SCS,</w:t>
      </w:r>
      <w:r w:rsidR="00727A74" w:rsidRPr="0099677A">
        <w:rPr>
          <w:b w:val="0"/>
          <w:sz w:val="20"/>
        </w:rPr>
        <w:t xml:space="preserve"> </w:t>
      </w:r>
      <w:r w:rsidR="001557DC" w:rsidRPr="0099677A">
        <w:rPr>
          <w:b w:val="0"/>
          <w:sz w:val="20"/>
        </w:rPr>
        <w:t xml:space="preserve">and physical layer procedures </w:t>
      </w:r>
      <w:r w:rsidR="00727A74" w:rsidRPr="0099677A">
        <w:rPr>
          <w:b w:val="0"/>
          <w:sz w:val="20"/>
        </w:rPr>
        <w:t>for NR unlicensed</w:t>
      </w:r>
      <w:r w:rsidRPr="0099677A">
        <w:rPr>
          <w:b w:val="0"/>
          <w:sz w:val="20"/>
        </w:rPr>
        <w:t>.</w:t>
      </w:r>
      <w:r w:rsidR="003B7920">
        <w:rPr>
          <w:b w:val="0"/>
          <w:sz w:val="20"/>
        </w:rPr>
        <w:t xml:space="preserve"> We consider both LBE and FBE devices.</w:t>
      </w:r>
    </w:p>
    <w:p w14:paraId="36D5C619" w14:textId="292C2534" w:rsidR="003B0DA8" w:rsidRDefault="003B0DA8" w:rsidP="00601374">
      <w:pPr>
        <w:pStyle w:val="Heading1"/>
        <w:kinsoku w:val="0"/>
        <w:spacing w:after="0"/>
      </w:pPr>
      <w:r>
        <w:t>NR-U numerology</w:t>
      </w:r>
    </w:p>
    <w:p w14:paraId="1F56E656" w14:textId="5DA544E4" w:rsidR="008105BD" w:rsidRDefault="008105BD" w:rsidP="00601374">
      <w:pPr>
        <w:pStyle w:val="body"/>
        <w:kinsoku w:val="0"/>
        <w:overflowPunct w:val="0"/>
        <w:spacing w:after="0"/>
      </w:pPr>
      <w:r>
        <w:t xml:space="preserve">In </w:t>
      </w:r>
      <w:r>
        <w:fldChar w:fldCharType="begin"/>
      </w:r>
      <w:r>
        <w:instrText xml:space="preserve"> REF _Ref513577777 \h </w:instrText>
      </w:r>
      <w:r>
        <w:fldChar w:fldCharType="separate"/>
      </w:r>
      <w:r w:rsidR="00601374">
        <w:t xml:space="preserve">Figure </w:t>
      </w:r>
      <w:r w:rsidR="00601374">
        <w:rPr>
          <w:noProof/>
        </w:rPr>
        <w:t>1</w:t>
      </w:r>
      <w:r>
        <w:fldChar w:fldCharType="end"/>
      </w:r>
      <w:r>
        <w:t xml:space="preserve"> we show the LBT and slot/mini-slot boundary misalignment overhead as function of the MCOT duration. We can see that for full-slot scheduling SCS of 30KHz has an overhead between 5 to 27% for MCOT durations between 1 to 5ms. The overhead reduces nearly by a factor of 2 with use of SCS of 60KHz. Thus, for full-slot based scheduling, 60Khz SCS does offer significant savings. </w:t>
      </w:r>
      <w:r w:rsidR="008613F2">
        <w:t xml:space="preserve">We should also add that in some cases, when scheduling UEs in UL that see hidden node interference, gNB may have to obtain the medium and send UL grants </w:t>
      </w:r>
      <w:r w:rsidR="00936958">
        <w:t xml:space="preserve">along </w:t>
      </w:r>
      <w:r w:rsidR="008613F2">
        <w:t xml:space="preserve">with the mis-alignment overhead. UE may not be able to respond as it may be seeing </w:t>
      </w:r>
      <w:r w:rsidR="00CB7AFB">
        <w:t xml:space="preserve">the hidden node </w:t>
      </w:r>
      <w:r w:rsidR="008613F2">
        <w:t xml:space="preserve">interference. In such cases the gNB may keep sending such grants repeatedly causing significant interference in the network. Finer slot granularity helps mitigate such issues as well. </w:t>
      </w:r>
    </w:p>
    <w:p w14:paraId="63CF2C82" w14:textId="77777777" w:rsidR="008105BD" w:rsidRDefault="008105BD" w:rsidP="00601374">
      <w:pPr>
        <w:pStyle w:val="body"/>
        <w:kinsoku w:val="0"/>
        <w:overflowPunct w:val="0"/>
        <w:spacing w:before="0" w:after="0"/>
      </w:pPr>
    </w:p>
    <w:p w14:paraId="1DEB6B11" w14:textId="77777777" w:rsidR="008105BD" w:rsidRDefault="008105BD" w:rsidP="00601374">
      <w:pPr>
        <w:pStyle w:val="body"/>
        <w:kinsoku w:val="0"/>
        <w:overflowPunct w:val="0"/>
        <w:spacing w:before="0" w:after="0"/>
      </w:pPr>
      <w:r>
        <w:t>Similar mis-alignment overhead as slot based scheduling with 60KHz SCS can be obtained by using 30KHz SCS and mini-slot comprising 7 symbols. However, supporting SCS of 60KHz provides some important additional advantages over SCS of 30KHz with mini-slots which are listed below:</w:t>
      </w:r>
    </w:p>
    <w:p w14:paraId="6B773DF8" w14:textId="77777777" w:rsidR="008105BD" w:rsidRDefault="008105BD" w:rsidP="00601374">
      <w:pPr>
        <w:pStyle w:val="body"/>
        <w:numPr>
          <w:ilvl w:val="0"/>
          <w:numId w:val="28"/>
        </w:numPr>
        <w:kinsoku w:val="0"/>
        <w:overflowPunct w:val="0"/>
        <w:spacing w:before="0" w:after="0"/>
      </w:pPr>
      <w:r>
        <w:t xml:space="preserve">A larger BW can be addressed in a single carrier with SCS of 60KHz vs that with 30KHz </w:t>
      </w:r>
    </w:p>
    <w:p w14:paraId="58914848" w14:textId="77777777" w:rsidR="008105BD" w:rsidRDefault="008105BD" w:rsidP="00601374">
      <w:pPr>
        <w:pStyle w:val="body"/>
        <w:numPr>
          <w:ilvl w:val="0"/>
          <w:numId w:val="28"/>
        </w:numPr>
        <w:kinsoku w:val="0"/>
        <w:overflowPunct w:val="0"/>
        <w:spacing w:before="0" w:after="0"/>
      </w:pPr>
      <w:r>
        <w:t xml:space="preserve">Since granularity of allocation is one symbol, SCS of 60KHz provides finer time domain allocation granularity. </w:t>
      </w:r>
    </w:p>
    <w:p w14:paraId="588ECF4A" w14:textId="77777777" w:rsidR="008105BD" w:rsidRDefault="008105BD" w:rsidP="00601374">
      <w:pPr>
        <w:pStyle w:val="body"/>
        <w:numPr>
          <w:ilvl w:val="1"/>
          <w:numId w:val="28"/>
        </w:numPr>
        <w:kinsoku w:val="0"/>
        <w:overflowPunct w:val="0"/>
        <w:spacing w:before="0" w:after="0"/>
      </w:pPr>
      <w:r>
        <w:t>One benefit of this is that the granularity of the LBT gaps that are created, for example for switching between DL and UL or for switching between one UE to another UE within UL slots, is finer (in units of ~16us vs in units of ~33us). This not only reduces the overhead but also reduces the likelihood of losing the medium within the gNB TxOP.</w:t>
      </w:r>
    </w:p>
    <w:p w14:paraId="79B3419D" w14:textId="77777777" w:rsidR="008105BD" w:rsidRDefault="008105BD" w:rsidP="00601374">
      <w:pPr>
        <w:pStyle w:val="body"/>
        <w:numPr>
          <w:ilvl w:val="1"/>
          <w:numId w:val="28"/>
        </w:numPr>
        <w:kinsoku w:val="0"/>
        <w:overflowPunct w:val="0"/>
        <w:spacing w:before="0" w:after="0"/>
      </w:pPr>
      <w:r>
        <w:t>Another benefit is the overhead for control channels would be smaller. For example, we may need only one symbol for control signal transmissions (such as ACK/SRS/RACH/UL grant etc) every few ms with both SCS of 30KHz and 60Khz. This would thus be higher overhead for 30KHz SCS over 60Khz SCS.</w:t>
      </w:r>
    </w:p>
    <w:p w14:paraId="6CE92E47" w14:textId="77777777" w:rsidR="008105BD" w:rsidRDefault="008105BD" w:rsidP="00601374">
      <w:pPr>
        <w:pStyle w:val="body"/>
        <w:numPr>
          <w:ilvl w:val="0"/>
          <w:numId w:val="28"/>
        </w:numPr>
        <w:kinsoku w:val="0"/>
        <w:overflowPunct w:val="0"/>
        <w:spacing w:before="0" w:after="0"/>
      </w:pPr>
      <w:r>
        <w:t xml:space="preserve">For self-contained-slots, we would like to have ACK transmitted on the same slot as the data. This would require creating gaps to switch between DL and UL. When the gap is &lt; 16us no LBT is needed. With SCS of 60Khz the symbol duration without considering CP is around 16.66us whereas for 30Khz SCS the symbol duration is around 33.33us. 60KHz SCS thus would better enable avoiding LBT for self-contained slots. </w:t>
      </w:r>
    </w:p>
    <w:p w14:paraId="48A13894" w14:textId="77777777" w:rsidR="008105BD" w:rsidRDefault="008105BD" w:rsidP="00601374">
      <w:pPr>
        <w:pStyle w:val="body"/>
        <w:keepNext/>
        <w:kinsoku w:val="0"/>
        <w:overflowPunct w:val="0"/>
        <w:spacing w:after="0"/>
        <w:jc w:val="center"/>
      </w:pPr>
      <w:r w:rsidRPr="00423262">
        <w:rPr>
          <w:noProof/>
        </w:rPr>
        <w:lastRenderedPageBreak/>
        <w:drawing>
          <wp:inline distT="0" distB="0" distL="0" distR="0" wp14:anchorId="75B97A96" wp14:editId="67A0B10B">
            <wp:extent cx="3833317" cy="287487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5139" cy="2876241"/>
                    </a:xfrm>
                    <a:prstGeom prst="rect">
                      <a:avLst/>
                    </a:prstGeom>
                    <a:noFill/>
                    <a:ln>
                      <a:noFill/>
                    </a:ln>
                  </pic:spPr>
                </pic:pic>
              </a:graphicData>
            </a:graphic>
          </wp:inline>
        </w:drawing>
      </w:r>
    </w:p>
    <w:p w14:paraId="6C04570F" w14:textId="0A1F586D" w:rsidR="008105BD" w:rsidRDefault="008105BD" w:rsidP="00601374">
      <w:pPr>
        <w:pStyle w:val="Caption"/>
        <w:kinsoku w:val="0"/>
        <w:spacing w:after="0"/>
        <w:jc w:val="center"/>
        <w:rPr>
          <w:noProof/>
        </w:rPr>
      </w:pPr>
      <w:bookmarkStart w:id="2" w:name="_Ref513577777"/>
      <w:r>
        <w:t xml:space="preserve">Figure </w:t>
      </w:r>
      <w:r>
        <w:fldChar w:fldCharType="begin"/>
      </w:r>
      <w:r>
        <w:instrText xml:space="preserve"> SEQ Figure \* ARABIC </w:instrText>
      </w:r>
      <w:r>
        <w:fldChar w:fldCharType="separate"/>
      </w:r>
      <w:r w:rsidR="00601374">
        <w:rPr>
          <w:noProof/>
        </w:rPr>
        <w:t>1</w:t>
      </w:r>
      <w:r>
        <w:fldChar w:fldCharType="end"/>
      </w:r>
      <w:bookmarkEnd w:id="2"/>
      <w:r>
        <w:t>: Amount of unused MCOT</w:t>
      </w:r>
      <w:r>
        <w:rPr>
          <w:noProof/>
        </w:rPr>
        <w:t xml:space="preserve"> due to slot and LBT misalignment</w:t>
      </w:r>
    </w:p>
    <w:p w14:paraId="7D8CDDB8" w14:textId="77777777" w:rsidR="008105BD" w:rsidRDefault="008105BD" w:rsidP="00601374">
      <w:pPr>
        <w:pStyle w:val="body"/>
        <w:kinsoku w:val="0"/>
        <w:overflowPunct w:val="0"/>
        <w:spacing w:after="0"/>
      </w:pPr>
      <w:r>
        <w:t>Given the above-mentioned advantages provided by SCS of 60KHz and the lower misalignment overhead we propose that SCS of 60Khz also be supported for NR-U.</w:t>
      </w:r>
    </w:p>
    <w:p w14:paraId="2022E50A" w14:textId="6A9957A7" w:rsidR="008105BD" w:rsidRPr="006C212E" w:rsidRDefault="008105BD" w:rsidP="00601374">
      <w:pPr>
        <w:pStyle w:val="LGTdoc1"/>
        <w:kinsoku w:val="0"/>
        <w:overflowPunct w:val="0"/>
        <w:spacing w:beforeLines="0" w:before="120" w:after="0" w:afterAutospacing="0"/>
        <w:rPr>
          <w:sz w:val="20"/>
        </w:rPr>
      </w:pPr>
      <w:bookmarkStart w:id="3" w:name="p1"/>
      <w:r w:rsidRPr="006C212E">
        <w:rPr>
          <w:sz w:val="20"/>
        </w:rPr>
        <w:t xml:space="preserve">Proposal </w:t>
      </w:r>
      <w:r>
        <w:rPr>
          <w:sz w:val="20"/>
        </w:rPr>
        <w:fldChar w:fldCharType="begin"/>
      </w:r>
      <w:r>
        <w:rPr>
          <w:sz w:val="20"/>
        </w:rPr>
        <w:instrText xml:space="preserve"> seq prop </w:instrText>
      </w:r>
      <w:r>
        <w:rPr>
          <w:sz w:val="20"/>
        </w:rPr>
        <w:fldChar w:fldCharType="separate"/>
      </w:r>
      <w:r w:rsidR="00601374">
        <w:rPr>
          <w:noProof/>
          <w:sz w:val="20"/>
        </w:rPr>
        <w:t>1</w:t>
      </w:r>
      <w:r>
        <w:rPr>
          <w:sz w:val="20"/>
        </w:rPr>
        <w:fldChar w:fldCharType="end"/>
      </w:r>
      <w:r w:rsidRPr="006C212E">
        <w:rPr>
          <w:sz w:val="20"/>
        </w:rPr>
        <w:t xml:space="preserve">: </w:t>
      </w:r>
      <w:r>
        <w:rPr>
          <w:sz w:val="20"/>
        </w:rPr>
        <w:t>NR-U supports SCS of 15, 30, and 60Khz in sub-7GHz</w:t>
      </w:r>
      <w:bookmarkEnd w:id="3"/>
    </w:p>
    <w:p w14:paraId="22BB6744" w14:textId="77777777" w:rsidR="003B0DA8" w:rsidRPr="003B0DA8" w:rsidRDefault="003B0DA8" w:rsidP="00601374">
      <w:pPr>
        <w:pStyle w:val="body"/>
        <w:kinsoku w:val="0"/>
        <w:overflowPunct w:val="0"/>
        <w:rPr>
          <w:lang w:eastAsia="en-US"/>
        </w:rPr>
      </w:pPr>
    </w:p>
    <w:p w14:paraId="176D0F01" w14:textId="4DF24A67" w:rsidR="00B45132" w:rsidRDefault="00B45132" w:rsidP="00601374">
      <w:pPr>
        <w:pStyle w:val="Heading1"/>
        <w:kinsoku w:val="0"/>
        <w:spacing w:after="0"/>
      </w:pPr>
      <w:r>
        <w:t>LBE vs FBE</w:t>
      </w:r>
    </w:p>
    <w:p w14:paraId="03AE2D3C" w14:textId="429E1CF7" w:rsidR="00B45132" w:rsidRDefault="003B7920" w:rsidP="00601374">
      <w:pPr>
        <w:pStyle w:val="LGTdoc1"/>
        <w:kinsoku w:val="0"/>
        <w:overflowPunct w:val="0"/>
        <w:spacing w:beforeLines="0" w:before="120" w:after="0" w:afterAutospacing="0"/>
        <w:rPr>
          <w:b w:val="0"/>
          <w:sz w:val="20"/>
        </w:rPr>
      </w:pPr>
      <w:r w:rsidRPr="003B7920">
        <w:rPr>
          <w:b w:val="0"/>
          <w:sz w:val="20"/>
        </w:rPr>
        <w:t xml:space="preserve">In </w:t>
      </w:r>
      <w:r>
        <w:rPr>
          <w:b w:val="0"/>
          <w:sz w:val="20"/>
        </w:rPr>
        <w:t>[</w:t>
      </w:r>
      <w:r w:rsidR="006662B2">
        <w:rPr>
          <w:b w:val="0"/>
          <w:sz w:val="20"/>
        </w:rPr>
        <w:t>3</w:t>
      </w:r>
      <w:r>
        <w:rPr>
          <w:b w:val="0"/>
          <w:sz w:val="20"/>
        </w:rPr>
        <w:t>],</w:t>
      </w:r>
      <w:r w:rsidR="004B60A5">
        <w:rPr>
          <w:b w:val="0"/>
          <w:sz w:val="20"/>
        </w:rPr>
        <w:t xml:space="preserve"> two adaptive channel access mechanisms are</w:t>
      </w:r>
      <w:r>
        <w:rPr>
          <w:b w:val="0"/>
          <w:sz w:val="20"/>
        </w:rPr>
        <w:t xml:space="preserve"> </w:t>
      </w:r>
      <w:r w:rsidR="004B60A5">
        <w:rPr>
          <w:b w:val="0"/>
          <w:sz w:val="20"/>
        </w:rPr>
        <w:t xml:space="preserve">defined: </w:t>
      </w:r>
      <w:r>
        <w:rPr>
          <w:b w:val="0"/>
          <w:sz w:val="20"/>
        </w:rPr>
        <w:t>Load Based Equipment (LBE) and Frame Based Equipment (FBE). Though the regulation</w:t>
      </w:r>
      <w:r w:rsidR="006E34AE">
        <w:rPr>
          <w:b w:val="0"/>
          <w:sz w:val="20"/>
        </w:rPr>
        <w:t>s</w:t>
      </w:r>
      <w:r>
        <w:rPr>
          <w:b w:val="0"/>
          <w:sz w:val="20"/>
        </w:rPr>
        <w:t xml:space="preserve"> </w:t>
      </w:r>
      <w:r w:rsidR="006E34AE">
        <w:rPr>
          <w:b w:val="0"/>
          <w:sz w:val="20"/>
        </w:rPr>
        <w:t xml:space="preserve">are </w:t>
      </w:r>
      <w:r>
        <w:rPr>
          <w:b w:val="0"/>
          <w:sz w:val="20"/>
        </w:rPr>
        <w:t xml:space="preserve">defined for 5GHz band, the basic principle can be generalized to other bands as well. </w:t>
      </w:r>
    </w:p>
    <w:p w14:paraId="0352123C" w14:textId="687F74C9" w:rsidR="00590789" w:rsidRPr="00590789" w:rsidRDefault="003B7920" w:rsidP="00601374">
      <w:pPr>
        <w:pStyle w:val="LGTdoc1"/>
        <w:kinsoku w:val="0"/>
        <w:overflowPunct w:val="0"/>
        <w:spacing w:before="120" w:after="0" w:afterAutospacing="0"/>
        <w:rPr>
          <w:b w:val="0"/>
          <w:sz w:val="20"/>
        </w:rPr>
      </w:pPr>
      <w:r>
        <w:rPr>
          <w:b w:val="0"/>
          <w:sz w:val="20"/>
        </w:rPr>
        <w:t>LBE</w:t>
      </w:r>
      <w:r w:rsidR="00F04A9C">
        <w:rPr>
          <w:b w:val="0"/>
          <w:sz w:val="20"/>
        </w:rPr>
        <w:t xml:space="preserve"> is an equipment where </w:t>
      </w:r>
      <w:r w:rsidR="00F04A9C" w:rsidRPr="00F04A9C">
        <w:rPr>
          <w:b w:val="0"/>
          <w:sz w:val="20"/>
        </w:rPr>
        <w:t>a Listen Before Talk (LBT) based Channel Access Mechanism to detect the</w:t>
      </w:r>
      <w:r w:rsidR="00F43B23">
        <w:rPr>
          <w:b w:val="0"/>
          <w:sz w:val="20"/>
        </w:rPr>
        <w:t xml:space="preserve"> </w:t>
      </w:r>
      <w:r w:rsidR="00F04A9C" w:rsidRPr="00F04A9C">
        <w:rPr>
          <w:b w:val="0"/>
          <w:sz w:val="20"/>
        </w:rPr>
        <w:t>presence of other RLAN transmissions on an Operating Channel</w:t>
      </w:r>
      <w:r w:rsidR="00F43B23">
        <w:rPr>
          <w:b w:val="0"/>
          <w:sz w:val="20"/>
        </w:rPr>
        <w:t xml:space="preserve"> is implemented.</w:t>
      </w:r>
      <w:r w:rsidR="00F43B23" w:rsidRPr="00F43B23">
        <w:t xml:space="preserve"> </w:t>
      </w:r>
      <w:r w:rsidR="00F43B23">
        <w:rPr>
          <w:b w:val="0"/>
          <w:sz w:val="20"/>
        </w:rPr>
        <w:t>A</w:t>
      </w:r>
      <w:r w:rsidR="00F43B23" w:rsidRPr="00F43B23">
        <w:rPr>
          <w:b w:val="0"/>
          <w:sz w:val="20"/>
        </w:rPr>
        <w:t xml:space="preserve"> device that initiates a sequence of one or more transmissions is</w:t>
      </w:r>
      <w:r w:rsidR="00F43B23">
        <w:rPr>
          <w:b w:val="0"/>
          <w:sz w:val="20"/>
        </w:rPr>
        <w:t xml:space="preserve"> </w:t>
      </w:r>
      <w:r w:rsidR="00F43B23" w:rsidRPr="00F43B23">
        <w:rPr>
          <w:b w:val="0"/>
          <w:sz w:val="20"/>
        </w:rPr>
        <w:t>denoted as the Initiating Device. Otherwise, the device is denoted as a Responding Device. Load Based Equipment may</w:t>
      </w:r>
      <w:r w:rsidR="00F43B23">
        <w:rPr>
          <w:b w:val="0"/>
          <w:sz w:val="20"/>
        </w:rPr>
        <w:t xml:space="preserve"> </w:t>
      </w:r>
      <w:r w:rsidR="00F43B23" w:rsidRPr="00F43B23">
        <w:rPr>
          <w:b w:val="0"/>
          <w:sz w:val="20"/>
        </w:rPr>
        <w:t>be an Initiating Device, a Responding Device, or both.</w:t>
      </w:r>
      <w:r w:rsidR="00F43B23">
        <w:rPr>
          <w:b w:val="0"/>
          <w:sz w:val="20"/>
        </w:rPr>
        <w:t xml:space="preserve"> </w:t>
      </w:r>
      <w:r w:rsidR="00F43B23" w:rsidRPr="00F43B23">
        <w:rPr>
          <w:b w:val="0"/>
          <w:sz w:val="20"/>
        </w:rPr>
        <w:t>Each transmission belongs to a single Channel Occupancy Time (COT). A Channel Occupancy Time (COT) consists of</w:t>
      </w:r>
      <w:r w:rsidR="00F43B23">
        <w:rPr>
          <w:b w:val="0"/>
          <w:sz w:val="20"/>
        </w:rPr>
        <w:t xml:space="preserve"> </w:t>
      </w:r>
      <w:r w:rsidR="00F43B23" w:rsidRPr="00F43B23">
        <w:rPr>
          <w:b w:val="0"/>
          <w:sz w:val="20"/>
        </w:rPr>
        <w:t>one or more transmissions of an Initiating Device and zero or more transmissions of one or more Responding Devices.</w:t>
      </w:r>
      <w:r w:rsidR="00F43B23">
        <w:rPr>
          <w:b w:val="0"/>
          <w:sz w:val="20"/>
        </w:rPr>
        <w:t xml:space="preserve"> </w:t>
      </w:r>
      <w:r w:rsidR="00F43B23" w:rsidRPr="00F43B23">
        <w:rPr>
          <w:b w:val="0"/>
          <w:sz w:val="20"/>
        </w:rPr>
        <w:t>The Initiating Device shall implement a Channel Access Mechanism with prioritized, truncated exponential back off</w:t>
      </w:r>
      <w:r w:rsidR="00F43B23">
        <w:rPr>
          <w:b w:val="0"/>
          <w:sz w:val="20"/>
        </w:rPr>
        <w:t xml:space="preserve"> </w:t>
      </w:r>
      <w:r w:rsidR="00F43B23" w:rsidRPr="00F43B23">
        <w:rPr>
          <w:b w:val="0"/>
          <w:sz w:val="20"/>
        </w:rPr>
        <w:t>mechanism</w:t>
      </w:r>
      <w:r w:rsidR="00F43B23">
        <w:rPr>
          <w:b w:val="0"/>
          <w:sz w:val="20"/>
        </w:rPr>
        <w:t>. The channel access parameters, including contention window size, and maximum COT, depend on the priority class. The Responding Device can receive a grant from the Initiating Device to transmit on the current Operating Channel</w:t>
      </w:r>
      <w:r w:rsidR="00590789">
        <w:rPr>
          <w:b w:val="0"/>
          <w:sz w:val="20"/>
        </w:rPr>
        <w:t xml:space="preserve">. </w:t>
      </w:r>
      <w:r w:rsidR="00590789" w:rsidRPr="00590789">
        <w:rPr>
          <w:b w:val="0"/>
          <w:sz w:val="20"/>
        </w:rPr>
        <w:t>The Responding Device may proceed with such transmissions without performing a Clear Channel</w:t>
      </w:r>
      <w:r w:rsidR="00590789">
        <w:rPr>
          <w:b w:val="0"/>
          <w:sz w:val="20"/>
        </w:rPr>
        <w:t xml:space="preserve"> </w:t>
      </w:r>
      <w:r w:rsidR="00590789" w:rsidRPr="00590789">
        <w:rPr>
          <w:b w:val="0"/>
          <w:sz w:val="20"/>
        </w:rPr>
        <w:t xml:space="preserve">Assessment (CCA) if these transmissions are initiated </w:t>
      </w:r>
      <w:r w:rsidR="00512157">
        <w:rPr>
          <w:b w:val="0"/>
          <w:sz w:val="20"/>
        </w:rPr>
        <w:t>within</w:t>
      </w:r>
      <w:r w:rsidR="00590789" w:rsidRPr="00590789">
        <w:rPr>
          <w:b w:val="0"/>
          <w:sz w:val="20"/>
        </w:rPr>
        <w:t xml:space="preserve">16μs </w:t>
      </w:r>
      <w:r w:rsidR="00512157">
        <w:rPr>
          <w:b w:val="0"/>
          <w:sz w:val="20"/>
        </w:rPr>
        <w:t>of</w:t>
      </w:r>
      <w:r w:rsidR="00512157" w:rsidRPr="00590789">
        <w:rPr>
          <w:b w:val="0"/>
          <w:sz w:val="20"/>
        </w:rPr>
        <w:t xml:space="preserve"> </w:t>
      </w:r>
      <w:r w:rsidR="00590789" w:rsidRPr="00590789">
        <w:rPr>
          <w:b w:val="0"/>
          <w:sz w:val="20"/>
        </w:rPr>
        <w:t>the last transmission by the</w:t>
      </w:r>
      <w:r w:rsidR="00590789">
        <w:rPr>
          <w:b w:val="0"/>
          <w:sz w:val="20"/>
        </w:rPr>
        <w:t xml:space="preserve"> </w:t>
      </w:r>
      <w:r w:rsidR="00590789" w:rsidRPr="00590789">
        <w:rPr>
          <w:b w:val="0"/>
          <w:sz w:val="20"/>
        </w:rPr>
        <w:t>Initiating Device that issued the grant.</w:t>
      </w:r>
      <w:r w:rsidR="00590789">
        <w:rPr>
          <w:b w:val="0"/>
          <w:sz w:val="20"/>
        </w:rPr>
        <w:t xml:space="preserve"> </w:t>
      </w:r>
      <w:r w:rsidR="00590789" w:rsidRPr="00590789">
        <w:rPr>
          <w:b w:val="0"/>
          <w:sz w:val="20"/>
        </w:rPr>
        <w:t xml:space="preserve"> The Responding Device that does not proceed with such transmissions within 16μs after the last</w:t>
      </w:r>
      <w:r w:rsidR="00590789">
        <w:rPr>
          <w:b w:val="0"/>
          <w:sz w:val="20"/>
        </w:rPr>
        <w:t xml:space="preserve"> </w:t>
      </w:r>
      <w:r w:rsidR="00590789" w:rsidRPr="00590789">
        <w:rPr>
          <w:b w:val="0"/>
          <w:sz w:val="20"/>
        </w:rPr>
        <w:t>transmission from the Initiating Device that issued the grant, shall perform a Clear Channel Assessment</w:t>
      </w:r>
      <w:r w:rsidR="00590789">
        <w:rPr>
          <w:b w:val="0"/>
          <w:sz w:val="20"/>
        </w:rPr>
        <w:t xml:space="preserve"> </w:t>
      </w:r>
      <w:r w:rsidR="00590789" w:rsidRPr="00590789">
        <w:rPr>
          <w:b w:val="0"/>
          <w:sz w:val="20"/>
        </w:rPr>
        <w:t>(CCA) on the Operating Channel during a single observation slot within a 25μs period ending</w:t>
      </w:r>
      <w:r w:rsidR="00590789">
        <w:rPr>
          <w:b w:val="0"/>
          <w:sz w:val="20"/>
        </w:rPr>
        <w:t xml:space="preserve"> </w:t>
      </w:r>
      <w:r w:rsidR="00590789" w:rsidRPr="00590789">
        <w:rPr>
          <w:b w:val="0"/>
          <w:sz w:val="20"/>
        </w:rPr>
        <w:t xml:space="preserve">immediately before the granted transmission time. If energy was detected with a level above the </w:t>
      </w:r>
      <w:r w:rsidR="00512157">
        <w:rPr>
          <w:b w:val="0"/>
          <w:sz w:val="20"/>
        </w:rPr>
        <w:t>Energy Detection (</w:t>
      </w:r>
      <w:r w:rsidR="00590789" w:rsidRPr="00590789">
        <w:rPr>
          <w:b w:val="0"/>
          <w:sz w:val="20"/>
        </w:rPr>
        <w:t>ED</w:t>
      </w:r>
      <w:r w:rsidR="00512157">
        <w:rPr>
          <w:b w:val="0"/>
          <w:sz w:val="20"/>
        </w:rPr>
        <w:t>)</w:t>
      </w:r>
      <w:r w:rsidR="00590789">
        <w:rPr>
          <w:b w:val="0"/>
          <w:sz w:val="20"/>
        </w:rPr>
        <w:t xml:space="preserve"> </w:t>
      </w:r>
      <w:r w:rsidR="00590789" w:rsidRPr="00590789">
        <w:rPr>
          <w:b w:val="0"/>
          <w:sz w:val="20"/>
        </w:rPr>
        <w:t xml:space="preserve">Threshold, the Responding Device shall </w:t>
      </w:r>
      <w:r w:rsidR="00590789">
        <w:rPr>
          <w:b w:val="0"/>
          <w:sz w:val="20"/>
        </w:rPr>
        <w:t>not transmit</w:t>
      </w:r>
      <w:r w:rsidR="00590789" w:rsidRPr="00590789">
        <w:rPr>
          <w:b w:val="0"/>
          <w:sz w:val="20"/>
        </w:rPr>
        <w:t>. Otherwise, the</w:t>
      </w:r>
      <w:r w:rsidR="00590789">
        <w:rPr>
          <w:b w:val="0"/>
          <w:sz w:val="20"/>
        </w:rPr>
        <w:t xml:space="preserve"> </w:t>
      </w:r>
      <w:r w:rsidR="00590789" w:rsidRPr="00590789">
        <w:rPr>
          <w:b w:val="0"/>
          <w:sz w:val="20"/>
        </w:rPr>
        <w:t xml:space="preserve">Responding Device shall </w:t>
      </w:r>
      <w:r w:rsidR="00590789">
        <w:rPr>
          <w:b w:val="0"/>
          <w:sz w:val="20"/>
        </w:rPr>
        <w:t>follow the grant.</w:t>
      </w:r>
    </w:p>
    <w:p w14:paraId="5A1CB99C" w14:textId="2357420A" w:rsidR="004B60A5" w:rsidRPr="004B60A5" w:rsidRDefault="003B7920" w:rsidP="00601374">
      <w:pPr>
        <w:pStyle w:val="LGTdoc1"/>
        <w:kinsoku w:val="0"/>
        <w:overflowPunct w:val="0"/>
        <w:spacing w:beforeLines="0" w:before="120" w:after="0" w:afterAutospacing="0"/>
        <w:rPr>
          <w:b w:val="0"/>
          <w:sz w:val="20"/>
        </w:rPr>
      </w:pPr>
      <w:r>
        <w:rPr>
          <w:b w:val="0"/>
          <w:sz w:val="20"/>
        </w:rPr>
        <w:t>FBE</w:t>
      </w:r>
      <w:r w:rsidR="004B60A5">
        <w:rPr>
          <w:b w:val="0"/>
          <w:sz w:val="20"/>
        </w:rPr>
        <w:t xml:space="preserve"> is an </w:t>
      </w:r>
      <w:r w:rsidR="004B60A5" w:rsidRPr="004B60A5">
        <w:rPr>
          <w:b w:val="0"/>
          <w:sz w:val="20"/>
        </w:rPr>
        <w:t xml:space="preserve">equipment where the transmit/receive structure has a periodic timing </w:t>
      </w:r>
      <w:r w:rsidR="006E34AE" w:rsidRPr="006E34AE">
        <w:rPr>
          <w:b w:val="0"/>
          <w:sz w:val="20"/>
        </w:rPr>
        <w:t>with periodicity of Fixed Frame Period. The Fixed Frame Period is between 1ms to 10ms</w:t>
      </w:r>
      <w:r w:rsidR="00355154">
        <w:rPr>
          <w:b w:val="0"/>
          <w:sz w:val="20"/>
        </w:rPr>
        <w:t xml:space="preserve">. </w:t>
      </w:r>
      <w:r w:rsidR="004B60A5" w:rsidRPr="004B60A5">
        <w:rPr>
          <w:b w:val="0"/>
          <w:sz w:val="20"/>
        </w:rPr>
        <w:t>The Fixed Frame Periods supported by the equipment shall be declared by the manufacturer</w:t>
      </w:r>
      <w:r w:rsidR="00355154">
        <w:rPr>
          <w:b w:val="0"/>
          <w:sz w:val="20"/>
        </w:rPr>
        <w:t xml:space="preserve">. </w:t>
      </w:r>
      <w:r w:rsidR="004B60A5" w:rsidRPr="004B60A5">
        <w:rPr>
          <w:b w:val="0"/>
          <w:sz w:val="20"/>
        </w:rPr>
        <w:t xml:space="preserve">An equipment may change its Fixed Frame Period but it shall not do </w:t>
      </w:r>
      <w:r w:rsidR="00512157">
        <w:rPr>
          <w:b w:val="0"/>
          <w:sz w:val="20"/>
        </w:rPr>
        <w:t xml:space="preserve">so </w:t>
      </w:r>
      <w:r w:rsidR="004B60A5" w:rsidRPr="004B60A5">
        <w:rPr>
          <w:b w:val="0"/>
          <w:sz w:val="20"/>
        </w:rPr>
        <w:t>more than once every 200ms</w:t>
      </w:r>
      <w:r w:rsidR="00355154">
        <w:rPr>
          <w:b w:val="0"/>
          <w:sz w:val="20"/>
        </w:rPr>
        <w:t xml:space="preserve">. </w:t>
      </w:r>
      <w:r w:rsidR="004B60A5" w:rsidRPr="004B60A5">
        <w:rPr>
          <w:b w:val="0"/>
          <w:sz w:val="20"/>
        </w:rPr>
        <w:t>Frame Based Equipment shall implement a Listen Before Talk (LBT) based Channel Access Mechanism</w:t>
      </w:r>
      <w:r w:rsidR="00355154">
        <w:rPr>
          <w:b w:val="0"/>
          <w:sz w:val="20"/>
        </w:rPr>
        <w:t>, where a</w:t>
      </w:r>
      <w:r w:rsidR="004B60A5" w:rsidRPr="004B60A5">
        <w:rPr>
          <w:b w:val="0"/>
          <w:sz w:val="20"/>
        </w:rPr>
        <w:t xml:space="preserve"> single Observation Slot shall have a duration of not less than 9μs</w:t>
      </w:r>
      <w:r w:rsidR="00355154">
        <w:rPr>
          <w:b w:val="0"/>
          <w:sz w:val="20"/>
        </w:rPr>
        <w:t xml:space="preserve">. </w:t>
      </w:r>
      <w:r w:rsidR="00355154" w:rsidRPr="004B60A5">
        <w:rPr>
          <w:b w:val="0"/>
          <w:sz w:val="20"/>
        </w:rPr>
        <w:t>The total time during which Frame Based Equipment can have transmissions on a given channel without re-evaluating the availability of that channel, is defined as the Channel Occupancy Time (COT)</w:t>
      </w:r>
      <w:r w:rsidR="00355154">
        <w:rPr>
          <w:b w:val="0"/>
          <w:sz w:val="20"/>
        </w:rPr>
        <w:t xml:space="preserve">. </w:t>
      </w:r>
      <w:r w:rsidR="00355154" w:rsidRPr="004B60A5">
        <w:rPr>
          <w:b w:val="0"/>
          <w:sz w:val="20"/>
          <w:lang w:val="en-US"/>
        </w:rPr>
        <w:t xml:space="preserve">The </w:t>
      </w:r>
      <w:r w:rsidR="00355154">
        <w:rPr>
          <w:b w:val="0"/>
          <w:sz w:val="20"/>
          <w:lang w:val="en-US"/>
        </w:rPr>
        <w:t>CO</w:t>
      </w:r>
      <w:r w:rsidR="008708FE">
        <w:rPr>
          <w:b w:val="0"/>
          <w:sz w:val="20"/>
          <w:lang w:val="en-US"/>
        </w:rPr>
        <w:t>T</w:t>
      </w:r>
      <w:r w:rsidR="00355154">
        <w:rPr>
          <w:b w:val="0"/>
          <w:sz w:val="20"/>
          <w:lang w:val="en-US"/>
        </w:rPr>
        <w:t xml:space="preserve"> shal</w:t>
      </w:r>
      <w:r w:rsidR="00355154" w:rsidRPr="004B60A5">
        <w:rPr>
          <w:b w:val="0"/>
          <w:sz w:val="20"/>
          <w:lang w:val="en-US"/>
        </w:rPr>
        <w:t>l not be greater than 95% of the Fixed Frame Period and shall be followed by an Idle Period until the start of the next Fixed Frame Period such that the Idle Period is at least 5% of the Channel Occupancy Time, with a minimum of 100μs</w:t>
      </w:r>
      <w:r w:rsidR="00355154">
        <w:rPr>
          <w:b w:val="0"/>
          <w:sz w:val="20"/>
          <w:lang w:val="en-US"/>
        </w:rPr>
        <w:t xml:space="preserve">. </w:t>
      </w:r>
      <w:r w:rsidR="004B60A5" w:rsidRPr="004B60A5">
        <w:rPr>
          <w:b w:val="0"/>
          <w:sz w:val="20"/>
        </w:rPr>
        <w:t>Frame Based Equipment may be an Initiating Device, a Responding Device, or bot</w:t>
      </w:r>
      <w:r w:rsidR="00355154">
        <w:rPr>
          <w:b w:val="0"/>
          <w:sz w:val="20"/>
        </w:rPr>
        <w:t>h, where a</w:t>
      </w:r>
      <w:r w:rsidR="004B60A5" w:rsidRPr="004B60A5">
        <w:rPr>
          <w:b w:val="0"/>
          <w:sz w:val="20"/>
        </w:rPr>
        <w:t xml:space="preserve"> device that initiates a sequence of one or more transmissions is denoted as the Initiating Device</w:t>
      </w:r>
      <w:r w:rsidR="00355154">
        <w:rPr>
          <w:b w:val="0"/>
          <w:sz w:val="20"/>
        </w:rPr>
        <w:t xml:space="preserve">. </w:t>
      </w:r>
      <w:r w:rsidR="004B60A5" w:rsidRPr="004B60A5">
        <w:rPr>
          <w:b w:val="0"/>
          <w:sz w:val="20"/>
        </w:rPr>
        <w:t>Otherwise, the device is denoted as a Responding Device</w:t>
      </w:r>
      <w:r w:rsidR="00FF611B">
        <w:rPr>
          <w:b w:val="0"/>
          <w:sz w:val="20"/>
        </w:rPr>
        <w:t>.</w:t>
      </w:r>
      <w:r w:rsidR="004B60A5" w:rsidRPr="004B60A5">
        <w:rPr>
          <w:b w:val="0"/>
          <w:sz w:val="20"/>
        </w:rPr>
        <w:t xml:space="preserve"> </w:t>
      </w:r>
    </w:p>
    <w:p w14:paraId="1B097249" w14:textId="08F5209D" w:rsidR="004B60A5" w:rsidRDefault="00590789" w:rsidP="00601374">
      <w:pPr>
        <w:pStyle w:val="LGTdoc1"/>
        <w:kinsoku w:val="0"/>
        <w:overflowPunct w:val="0"/>
        <w:spacing w:beforeLines="0" w:before="120" w:after="0" w:afterAutospacing="0"/>
        <w:rPr>
          <w:b w:val="0"/>
          <w:sz w:val="20"/>
        </w:rPr>
      </w:pPr>
      <w:r>
        <w:rPr>
          <w:b w:val="0"/>
          <w:sz w:val="20"/>
        </w:rPr>
        <w:lastRenderedPageBreak/>
        <w:t>The LBE mechanism has been extensively studied in LTE-LAA (including eLAA and feLAA) feature. Since the main target</w:t>
      </w:r>
      <w:r w:rsidR="00344B48">
        <w:rPr>
          <w:b w:val="0"/>
          <w:sz w:val="20"/>
        </w:rPr>
        <w:t xml:space="preserve"> band</w:t>
      </w:r>
      <w:r>
        <w:rPr>
          <w:b w:val="0"/>
          <w:sz w:val="20"/>
        </w:rPr>
        <w:t xml:space="preserve"> of LTE-LAA is 5GHz and fair coexistence with Wi</w:t>
      </w:r>
      <w:r w:rsidR="00C031E9">
        <w:rPr>
          <w:b w:val="0"/>
          <w:sz w:val="20"/>
        </w:rPr>
        <w:t>-</w:t>
      </w:r>
      <w:r>
        <w:rPr>
          <w:b w:val="0"/>
          <w:sz w:val="20"/>
        </w:rPr>
        <w:t>Fi 11ac (which is an LBE system) is required, LBE is a natural choice for LTE-LAA as well. For NR-U, the same use case</w:t>
      </w:r>
      <w:r w:rsidR="00E628ED">
        <w:rPr>
          <w:b w:val="0"/>
          <w:sz w:val="20"/>
        </w:rPr>
        <w:t>s</w:t>
      </w:r>
      <w:r>
        <w:rPr>
          <w:b w:val="0"/>
          <w:sz w:val="20"/>
        </w:rPr>
        <w:t xml:space="preserve"> as LTE-LAA </w:t>
      </w:r>
      <w:r w:rsidR="008708FE">
        <w:rPr>
          <w:b w:val="0"/>
          <w:sz w:val="20"/>
        </w:rPr>
        <w:t>are applicable</w:t>
      </w:r>
      <w:r>
        <w:rPr>
          <w:b w:val="0"/>
          <w:sz w:val="20"/>
        </w:rPr>
        <w:t xml:space="preserve"> as well. So LBE channel access mechanism should also be considered for NR-U. On the other hand, for 5G systems, other use cases, such as industrial automation, can also be supported. In these new use cases, the operator (possibly the factory) may have the capability to control the deployment environment such that</w:t>
      </w:r>
      <w:r w:rsidR="006C212E">
        <w:rPr>
          <w:b w:val="0"/>
          <w:sz w:val="20"/>
        </w:rPr>
        <w:t xml:space="preserve"> there </w:t>
      </w:r>
      <w:r w:rsidR="00FF611B">
        <w:rPr>
          <w:b w:val="0"/>
          <w:sz w:val="20"/>
        </w:rPr>
        <w:t>are</w:t>
      </w:r>
      <w:r w:rsidR="006C212E">
        <w:rPr>
          <w:b w:val="0"/>
          <w:sz w:val="20"/>
        </w:rPr>
        <w:t xml:space="preserve"> no Wi</w:t>
      </w:r>
      <w:r w:rsidR="00C031E9">
        <w:rPr>
          <w:b w:val="0"/>
          <w:sz w:val="20"/>
        </w:rPr>
        <w:t>-</w:t>
      </w:r>
      <w:r w:rsidR="006C212E">
        <w:rPr>
          <w:b w:val="0"/>
          <w:sz w:val="20"/>
        </w:rPr>
        <w:t>Fi based interferers near-by. In these cases, FBE channel access mechanism can be further considered as well to take advantage of the simplicity and higher efficiency of the FBE system. Therefore, we propose to study and support both LBE and FBE channel access mechanisms for NR-U.</w:t>
      </w:r>
    </w:p>
    <w:p w14:paraId="738B5C4B" w14:textId="14EBE719" w:rsidR="006C212E" w:rsidRPr="006C212E" w:rsidRDefault="006C212E" w:rsidP="00601374">
      <w:pPr>
        <w:pStyle w:val="LGTdoc1"/>
        <w:kinsoku w:val="0"/>
        <w:overflowPunct w:val="0"/>
        <w:spacing w:beforeLines="0" w:before="120" w:after="0" w:afterAutospacing="0"/>
        <w:rPr>
          <w:sz w:val="20"/>
        </w:rPr>
      </w:pPr>
      <w:bookmarkStart w:id="4" w:name="p2"/>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601374">
        <w:rPr>
          <w:noProof/>
          <w:sz w:val="20"/>
        </w:rPr>
        <w:t>2</w:t>
      </w:r>
      <w:r w:rsidRPr="006C212E">
        <w:rPr>
          <w:sz w:val="20"/>
        </w:rPr>
        <w:fldChar w:fldCharType="end"/>
      </w:r>
      <w:r w:rsidR="008C476C">
        <w:rPr>
          <w:sz w:val="20"/>
        </w:rPr>
        <w:t>:</w:t>
      </w:r>
      <w:r w:rsidRPr="006C212E">
        <w:rPr>
          <w:sz w:val="20"/>
        </w:rPr>
        <w:t xml:space="preserve"> Study both LBE and FBE based channel access mechanisms for NR-U</w:t>
      </w:r>
    </w:p>
    <w:bookmarkEnd w:id="4"/>
    <w:p w14:paraId="641FEE69" w14:textId="5286E6FE" w:rsidR="00770545" w:rsidRDefault="00770545" w:rsidP="00601374">
      <w:pPr>
        <w:pStyle w:val="LGTdoc1"/>
        <w:kinsoku w:val="0"/>
        <w:overflowPunct w:val="0"/>
        <w:spacing w:beforeLines="0" w:before="120" w:after="0" w:afterAutospacing="0"/>
        <w:rPr>
          <w:b w:val="0"/>
          <w:sz w:val="20"/>
        </w:rPr>
      </w:pPr>
      <w:r w:rsidRPr="00670123">
        <w:rPr>
          <w:b w:val="0"/>
          <w:sz w:val="20"/>
        </w:rPr>
        <w:t>On top of LBE and FBE operation modes already defined</w:t>
      </w:r>
      <w:r w:rsidR="00D722E2" w:rsidRPr="00670123">
        <w:rPr>
          <w:b w:val="0"/>
          <w:sz w:val="20"/>
        </w:rPr>
        <w:t xml:space="preserve"> for 5GHz band</w:t>
      </w:r>
      <w:r w:rsidRPr="00670123">
        <w:rPr>
          <w:b w:val="0"/>
          <w:sz w:val="20"/>
        </w:rPr>
        <w:t xml:space="preserve">, </w:t>
      </w:r>
      <w:r w:rsidR="00D722E2" w:rsidRPr="00670123">
        <w:rPr>
          <w:b w:val="0"/>
          <w:sz w:val="20"/>
        </w:rPr>
        <w:t>for a green-field band, it is possible to introduce other mode</w:t>
      </w:r>
      <w:r w:rsidR="00670123" w:rsidRPr="00670123">
        <w:rPr>
          <w:b w:val="0"/>
          <w:sz w:val="20"/>
        </w:rPr>
        <w:t xml:space="preserve">s of spectrum sharing to achieve higher sharing efficiency. One area worth further consideration is synchronized sharing, where the nodes will follow a common time grid for contention and data transmission. By introduce this time synchronization, it is possible to greatly reduce the hidden node </w:t>
      </w:r>
      <w:r w:rsidR="00670123">
        <w:rPr>
          <w:b w:val="0"/>
          <w:sz w:val="20"/>
        </w:rPr>
        <w:t>problem and deafness problem (a node is not monitoring the channel for channel reservation signals when transmitting itself).</w:t>
      </w:r>
    </w:p>
    <w:p w14:paraId="53FBC49D" w14:textId="684922E9" w:rsidR="00670123" w:rsidRDefault="00670123" w:rsidP="00601374">
      <w:pPr>
        <w:pStyle w:val="LGTdoc1"/>
        <w:kinsoku w:val="0"/>
        <w:overflowPunct w:val="0"/>
        <w:spacing w:beforeLines="0" w:before="120" w:after="0" w:afterAutospacing="0"/>
        <w:rPr>
          <w:sz w:val="20"/>
        </w:rPr>
      </w:pPr>
      <w:bookmarkStart w:id="5" w:name="p3"/>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601374">
        <w:rPr>
          <w:noProof/>
          <w:sz w:val="20"/>
        </w:rPr>
        <w:t>3</w:t>
      </w:r>
      <w:r w:rsidRPr="006C212E">
        <w:rPr>
          <w:sz w:val="20"/>
        </w:rPr>
        <w:fldChar w:fldCharType="end"/>
      </w:r>
      <w:r>
        <w:rPr>
          <w:sz w:val="20"/>
        </w:rPr>
        <w:t>:</w:t>
      </w:r>
      <w:r w:rsidRPr="006C212E">
        <w:rPr>
          <w:sz w:val="20"/>
        </w:rPr>
        <w:t xml:space="preserve"> </w:t>
      </w:r>
      <w:r>
        <w:rPr>
          <w:sz w:val="20"/>
        </w:rPr>
        <w:t>Consider synchronized sharing schemes for green field unlicensed/shared band</w:t>
      </w:r>
    </w:p>
    <w:bookmarkEnd w:id="5"/>
    <w:p w14:paraId="338C879E" w14:textId="16940608" w:rsidR="00B559A2" w:rsidRDefault="00FD335A" w:rsidP="00601374">
      <w:pPr>
        <w:pStyle w:val="Heading1"/>
        <w:kinsoku w:val="0"/>
        <w:spacing w:after="0"/>
      </w:pPr>
      <w:r>
        <w:t>T</w:t>
      </w:r>
      <w:r w:rsidR="002F37E8">
        <w:t>x</w:t>
      </w:r>
      <w:r>
        <w:t>OP</w:t>
      </w:r>
      <w:r w:rsidR="002F37E8">
        <w:t xml:space="preserve"> Structure</w:t>
      </w:r>
      <w:r w:rsidR="00B45132">
        <w:t xml:space="preserve"> for LBE</w:t>
      </w:r>
    </w:p>
    <w:p w14:paraId="76E0AD8A" w14:textId="5A6D3881" w:rsidR="00FD335A" w:rsidRDefault="008708FE" w:rsidP="00601374">
      <w:pPr>
        <w:pStyle w:val="LGTdoc1"/>
        <w:kinsoku w:val="0"/>
        <w:overflowPunct w:val="0"/>
        <w:spacing w:beforeLines="0" w:before="120" w:after="0" w:afterAutospacing="0"/>
        <w:rPr>
          <w:b w:val="0"/>
          <w:sz w:val="20"/>
        </w:rPr>
      </w:pPr>
      <w:r>
        <w:rPr>
          <w:b w:val="0"/>
          <w:sz w:val="20"/>
        </w:rPr>
        <w:t>As described in the previous section, t</w:t>
      </w:r>
      <w:r w:rsidRPr="0099677A">
        <w:rPr>
          <w:b w:val="0"/>
          <w:sz w:val="20"/>
        </w:rPr>
        <w:t xml:space="preserve">ypical </w:t>
      </w:r>
      <w:r w:rsidR="00FD335A" w:rsidRPr="0099677A">
        <w:rPr>
          <w:b w:val="0"/>
          <w:sz w:val="20"/>
        </w:rPr>
        <w:t xml:space="preserve">channel access procedure in unlicensed spectrum starts with an LBT procedure where the node determines if the channel is busy or idle. If the channel is found </w:t>
      </w:r>
      <w:r w:rsidR="00D4232E" w:rsidRPr="0099677A">
        <w:rPr>
          <w:b w:val="0"/>
          <w:sz w:val="20"/>
        </w:rPr>
        <w:t>to be idle, a contention step follows which typically involves the node monitoring the channel for a period of time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is allowed to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period of time where the node gains right to access the medium is referred to as the TxOP (transmission opportunity)</w:t>
      </w:r>
      <w:r w:rsidR="00232635" w:rsidRPr="0099677A">
        <w:rPr>
          <w:b w:val="0"/>
          <w:sz w:val="20"/>
        </w:rPr>
        <w:t>.</w:t>
      </w:r>
    </w:p>
    <w:p w14:paraId="2B1D9D68" w14:textId="79E76212" w:rsidR="00EF639A" w:rsidRDefault="00EF639A" w:rsidP="00601374">
      <w:pPr>
        <w:pStyle w:val="LGTdoc1"/>
        <w:kinsoku w:val="0"/>
        <w:overflowPunct w:val="0"/>
        <w:spacing w:beforeLines="0" w:before="120" w:after="0" w:afterAutospacing="0"/>
        <w:rPr>
          <w:b w:val="0"/>
          <w:sz w:val="20"/>
        </w:rPr>
      </w:pPr>
      <w:r>
        <w:rPr>
          <w:b w:val="0"/>
          <w:sz w:val="20"/>
        </w:rPr>
        <w:t>In RAN1#93 the following was agreed with respect to the TxOP structure</w:t>
      </w:r>
      <w:bookmarkStart w:id="6" w:name="_Hlk521333220"/>
    </w:p>
    <w:p w14:paraId="69FF0A4B" w14:textId="77777777" w:rsidR="00EF639A" w:rsidRPr="00590F5D" w:rsidRDefault="00EF639A" w:rsidP="00601374">
      <w:pPr>
        <w:numPr>
          <w:ilvl w:val="0"/>
          <w:numId w:val="27"/>
        </w:numPr>
        <w:kinsoku w:val="0"/>
        <w:wordWrap/>
        <w:overflowPunct w:val="0"/>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783ADE9F" w14:textId="77777777" w:rsidR="00EF639A" w:rsidRPr="00590F5D" w:rsidRDefault="00EF639A" w:rsidP="00601374">
      <w:pPr>
        <w:numPr>
          <w:ilvl w:val="1"/>
          <w:numId w:val="27"/>
        </w:numPr>
        <w:tabs>
          <w:tab w:val="clear" w:pos="1440"/>
        </w:tabs>
        <w:kinsoku w:val="0"/>
        <w:wordWrap/>
        <w:overflowPunct w:val="0"/>
        <w:autoSpaceDE/>
        <w:autoSpaceDN/>
        <w:rPr>
          <w:rFonts w:ascii="Times New Roman"/>
        </w:rPr>
      </w:pPr>
      <w:r w:rsidRPr="00590F5D">
        <w:rPr>
          <w:rFonts w:ascii="Times New Roman"/>
        </w:rPr>
        <w:t>LBT requirements to support single or multiple switching points, include</w:t>
      </w:r>
    </w:p>
    <w:p w14:paraId="057B71E0"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less than 16us: no-LBT can be used </w:t>
      </w:r>
    </w:p>
    <w:p w14:paraId="6BCC5871"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1969DE7D"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above 16us but does not exceed 25us: one-shot LBT can be used </w:t>
      </w:r>
    </w:p>
    <w:p w14:paraId="0D892992"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620C7671"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1328B3EE"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1B8B7400"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FFS: For multiple switching points, for the gap from DL transmission to UL transmission exceeds 25us, one-shot LBT is used. Regulations for this option.</w:t>
      </w:r>
    </w:p>
    <w:bookmarkEnd w:id="6"/>
    <w:p w14:paraId="737D0507" w14:textId="3EF7D130" w:rsidR="00026061" w:rsidRPr="0099677A" w:rsidRDefault="000E516B" w:rsidP="00601374">
      <w:pPr>
        <w:pStyle w:val="LGTdoc1"/>
        <w:kinsoku w:val="0"/>
        <w:overflowPunct w:val="0"/>
        <w:spacing w:beforeLines="0" w:before="120" w:after="0" w:afterAutospacing="0"/>
        <w:rPr>
          <w:b w:val="0"/>
          <w:sz w:val="20"/>
        </w:rPr>
      </w:pPr>
      <w:r>
        <w:rPr>
          <w:b w:val="0"/>
          <w:sz w:val="20"/>
        </w:rPr>
        <w:t>LTE-LAA allowed only one switching point in the</w:t>
      </w:r>
      <w:r w:rsidR="00026061">
        <w:rPr>
          <w:b w:val="0"/>
          <w:sz w:val="20"/>
        </w:rPr>
        <w:t xml:space="preserve"> TxOP. Having multiple switching points in the TxOP together with the faster processing capabilities that NR offers enables the systems to benefit from a host of techniques. For example, it allows introducing channel usage indicator signals which can help </w:t>
      </w:r>
      <w:r w:rsidR="00814CFC">
        <w:rPr>
          <w:b w:val="0"/>
          <w:sz w:val="20"/>
        </w:rPr>
        <w:t>alleviate</w:t>
      </w:r>
      <w:r w:rsidR="00026061">
        <w:rPr>
          <w:b w:val="0"/>
          <w:sz w:val="20"/>
        </w:rPr>
        <w:t xml:space="preserve"> some of the problems associated with hidden nodes. It allows fast C</w:t>
      </w:r>
      <w:r w:rsidR="00814CFC">
        <w:rPr>
          <w:b w:val="0"/>
          <w:sz w:val="20"/>
        </w:rPr>
        <w:t>S</w:t>
      </w:r>
      <w:r w:rsidR="00026061">
        <w:rPr>
          <w:b w:val="0"/>
          <w:sz w:val="20"/>
        </w:rPr>
        <w:t>I exchange between gNB and UE before the data transmission allowing better rate contro</w:t>
      </w:r>
      <w:r w:rsidR="004E45A4">
        <w:rPr>
          <w:b w:val="0"/>
          <w:sz w:val="20"/>
        </w:rPr>
        <w:t>l</w:t>
      </w:r>
      <w:r w:rsidR="00026061">
        <w:rPr>
          <w:b w:val="0"/>
          <w:sz w:val="20"/>
        </w:rPr>
        <w:t>. It also allows gNB to change UL MCS etc between different UL PUSCH based on past received PUSCH. Some of these benefits are discussed in the following subsections.</w:t>
      </w:r>
    </w:p>
    <w:p w14:paraId="5E682391" w14:textId="6152D822" w:rsidR="00232635" w:rsidRDefault="00A0191B" w:rsidP="00601374">
      <w:pPr>
        <w:pStyle w:val="Heading2"/>
        <w:kinsoku w:val="0"/>
      </w:pPr>
      <w:r>
        <w:t>4</w:t>
      </w:r>
      <w:r w:rsidR="00522BEB">
        <w:t>.1</w:t>
      </w:r>
      <w:r w:rsidR="00522BEB">
        <w:tab/>
      </w:r>
      <w:r w:rsidR="00232635" w:rsidRPr="003520EB">
        <w:t>Channel</w:t>
      </w:r>
      <w:r w:rsidR="00232635" w:rsidRPr="00232635">
        <w:t xml:space="preserve"> </w:t>
      </w:r>
      <w:r w:rsidR="00B858AE">
        <w:t>Usage Indication</w:t>
      </w:r>
    </w:p>
    <w:p w14:paraId="7346207E" w14:textId="2032798B" w:rsidR="00726473" w:rsidRPr="0099677A" w:rsidRDefault="00D26A8E" w:rsidP="00601374">
      <w:pPr>
        <w:pStyle w:val="LGTdoc1"/>
        <w:kinsoku w:val="0"/>
        <w:overflowPunct w:val="0"/>
        <w:spacing w:beforeLines="0" w:before="120" w:after="0" w:afterAutospacing="0"/>
        <w:rPr>
          <w:b w:val="0"/>
          <w:sz w:val="20"/>
        </w:rPr>
      </w:pPr>
      <w:r w:rsidRPr="0099677A">
        <w:rPr>
          <w:b w:val="0"/>
          <w:sz w:val="20"/>
        </w:rPr>
        <w:t xml:space="preserve">Consider a “hidden-node” scenario shown in </w:t>
      </w:r>
      <w:r w:rsidR="004E1B19">
        <w:rPr>
          <w:b w:val="0"/>
          <w:sz w:val="20"/>
        </w:rPr>
        <w:fldChar w:fldCharType="begin"/>
      </w:r>
      <w:r w:rsidR="004E1B19">
        <w:rPr>
          <w:b w:val="0"/>
          <w:sz w:val="20"/>
        </w:rPr>
        <w:instrText xml:space="preserve"> REF _Ref513643329  \* MERGEFORMAT </w:instrText>
      </w:r>
      <w:r w:rsidR="004E1B19">
        <w:rPr>
          <w:b w:val="0"/>
          <w:sz w:val="20"/>
        </w:rPr>
        <w:fldChar w:fldCharType="separate"/>
      </w:r>
      <w:r w:rsidR="00601374" w:rsidRPr="00601374">
        <w:rPr>
          <w:b w:val="0"/>
          <w:sz w:val="20"/>
        </w:rPr>
        <w:t xml:space="preserve">Figure </w:t>
      </w:r>
      <w:r w:rsidR="00601374" w:rsidRPr="00601374">
        <w:rPr>
          <w:b w:val="0"/>
          <w:sz w:val="20"/>
        </w:rPr>
        <w:t>2</w:t>
      </w:r>
      <w:r w:rsidR="004E1B19">
        <w:rPr>
          <w:b w:val="0"/>
          <w:sz w:val="20"/>
        </w:rPr>
        <w:fldChar w:fldCharType="end"/>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w:t>
      </w:r>
      <w:r w:rsidR="00FA2D11">
        <w:rPr>
          <w:b w:val="0"/>
          <w:sz w:val="20"/>
        </w:rPr>
        <w:t>’s</w:t>
      </w:r>
      <w:r w:rsidRPr="0099677A">
        <w:rPr>
          <w:b w:val="0"/>
          <w:sz w:val="20"/>
        </w:rPr>
        <w:t xml:space="preserve"> transmission, its LBT procedure may 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w:t>
      </w:r>
      <w:r w:rsidR="00FA2D11">
        <w:rPr>
          <w:b w:val="0"/>
          <w:sz w:val="20"/>
        </w:rPr>
        <w:t>’s</w:t>
      </w:r>
      <w:r w:rsidR="00465BDF" w:rsidRPr="0099677A">
        <w:rPr>
          <w:b w:val="0"/>
          <w:sz w:val="20"/>
        </w:rPr>
        <w:t xml:space="preserve"> transmissions</w:t>
      </w:r>
      <w:r w:rsidR="00FA2D11">
        <w:rPr>
          <w:b w:val="0"/>
          <w:sz w:val="20"/>
        </w:rPr>
        <w:t>,</w:t>
      </w:r>
      <w:r w:rsidR="00465BDF" w:rsidRPr="0099677A">
        <w:rPr>
          <w:b w:val="0"/>
          <w:sz w:val="20"/>
        </w:rPr>
        <w:t xml:space="preserve">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601374">
      <w:pPr>
        <w:widowControl/>
        <w:kinsoku w:val="0"/>
        <w:wordWrap/>
        <w:overflowPunct w:val="0"/>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601374">
      <w:pPr>
        <w:keepNext/>
        <w:widowControl/>
        <w:kinsoku w:val="0"/>
        <w:wordWrap/>
        <w:overflowPunct w:val="0"/>
        <w:autoSpaceDE/>
        <w:autoSpaceDN/>
        <w:jc w:val="center"/>
      </w:pPr>
      <w:r>
        <w:rPr>
          <w:rFonts w:ascii="Calibri" w:eastAsia="Times New Roman" w:hAnsi="Calibri" w:cs="Calibri"/>
          <w:color w:val="000000"/>
          <w:kern w:val="0"/>
          <w:sz w:val="22"/>
          <w:szCs w:val="22"/>
          <w:lang w:eastAsia="en-US"/>
        </w:rPr>
        <w:object w:dxaOrig="13396" w:dyaOrig="4224" w14:anchorId="16DD6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101pt" o:ole="">
            <v:imagedata r:id="rId14" o:title=""/>
          </v:shape>
          <o:OLEObject Type="Embed" ProgID="Visio.Drawing.11" ShapeID="_x0000_i1025" DrawAspect="Content" ObjectID="_1599658464" r:id="rId15"/>
        </w:object>
      </w:r>
    </w:p>
    <w:p w14:paraId="00C0D182" w14:textId="5ADF3F7B" w:rsidR="00640F5E" w:rsidRDefault="009F74E3" w:rsidP="00601374">
      <w:pPr>
        <w:pStyle w:val="Caption"/>
        <w:kinsoku w:val="0"/>
        <w:spacing w:after="0"/>
        <w:jc w:val="center"/>
        <w:rPr>
          <w:rFonts w:ascii="Calibri" w:eastAsia="Times New Roman" w:hAnsi="Calibri" w:cs="Calibri"/>
          <w:color w:val="000000"/>
          <w:sz w:val="22"/>
          <w:szCs w:val="22"/>
        </w:rPr>
      </w:pPr>
      <w:bookmarkStart w:id="7" w:name="_Ref513643329"/>
      <w:r>
        <w:t xml:space="preserve">Figure </w:t>
      </w:r>
      <w:r>
        <w:fldChar w:fldCharType="begin"/>
      </w:r>
      <w:r>
        <w:instrText xml:space="preserve"> SEQ Figure \* ARABIC </w:instrText>
      </w:r>
      <w:r>
        <w:fldChar w:fldCharType="separate"/>
      </w:r>
      <w:r w:rsidR="00601374">
        <w:rPr>
          <w:noProof/>
        </w:rPr>
        <w:t>2</w:t>
      </w:r>
      <w:r>
        <w:fldChar w:fldCharType="end"/>
      </w:r>
      <w:bookmarkEnd w:id="7"/>
      <w:r>
        <w:t>: Hidden Node Scenario</w:t>
      </w:r>
    </w:p>
    <w:p w14:paraId="234D16FC" w14:textId="6587C08C" w:rsidR="00D26A8E" w:rsidRPr="0099677A" w:rsidRDefault="009F74E3" w:rsidP="00601374">
      <w:pPr>
        <w:pStyle w:val="LGTdoc1"/>
        <w:kinsoku w:val="0"/>
        <w:overflowPunct w:val="0"/>
        <w:spacing w:beforeLines="0" w:before="120" w:after="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r w:rsidR="000A6F35">
        <w:rPr>
          <w:b w:val="0"/>
          <w:sz w:val="20"/>
        </w:rPr>
        <w:t xml:space="preserve"> (see </w:t>
      </w:r>
      <w:r w:rsidR="000A6F35">
        <w:rPr>
          <w:b w:val="0"/>
          <w:sz w:val="20"/>
        </w:rPr>
        <w:fldChar w:fldCharType="begin"/>
      </w:r>
      <w:r w:rsidR="000A6F35">
        <w:rPr>
          <w:b w:val="0"/>
          <w:sz w:val="20"/>
        </w:rPr>
        <w:instrText xml:space="preserve"> REF _Ref521331273 \h  \* MERGEFORMAT </w:instrText>
      </w:r>
      <w:r w:rsidR="000A6F35">
        <w:rPr>
          <w:b w:val="0"/>
          <w:sz w:val="20"/>
        </w:rPr>
      </w:r>
      <w:r w:rsidR="000A6F35">
        <w:rPr>
          <w:b w:val="0"/>
          <w:sz w:val="20"/>
        </w:rPr>
        <w:fldChar w:fldCharType="separate"/>
      </w:r>
      <w:r w:rsidR="00601374" w:rsidRPr="00601374">
        <w:rPr>
          <w:b w:val="0"/>
          <w:sz w:val="20"/>
        </w:rPr>
        <w:t xml:space="preserve">Figure </w:t>
      </w:r>
      <w:r w:rsidR="00601374" w:rsidRPr="00601374">
        <w:rPr>
          <w:b w:val="0"/>
          <w:sz w:val="20"/>
        </w:rPr>
        <w:t>3</w:t>
      </w:r>
      <w:r w:rsidR="000A6F35">
        <w:rPr>
          <w:b w:val="0"/>
          <w:sz w:val="20"/>
        </w:rPr>
        <w:fldChar w:fldCharType="end"/>
      </w:r>
      <w:r w:rsidR="000A6F35">
        <w:rPr>
          <w:b w:val="0"/>
          <w:sz w:val="20"/>
        </w:rPr>
        <w:t>)</w:t>
      </w:r>
      <w:r w:rsidR="00674737" w:rsidRPr="0099677A">
        <w:rPr>
          <w:b w:val="0"/>
          <w:sz w:val="20"/>
        </w:rPr>
        <w:t>:</w:t>
      </w:r>
    </w:p>
    <w:p w14:paraId="7AE510BC" w14:textId="505FEE0A" w:rsidR="00D26A8E" w:rsidRPr="0099677A" w:rsidRDefault="00D26A8E" w:rsidP="00601374">
      <w:pPr>
        <w:pStyle w:val="LGTdoc1"/>
        <w:numPr>
          <w:ilvl w:val="0"/>
          <w:numId w:val="24"/>
        </w:numPr>
        <w:kinsoku w:val="0"/>
        <w:overflowPunct w:val="0"/>
        <w:spacing w:beforeLines="0" w:before="120" w:after="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601374">
      <w:pPr>
        <w:pStyle w:val="LGTdoc1"/>
        <w:numPr>
          <w:ilvl w:val="0"/>
          <w:numId w:val="24"/>
        </w:numPr>
        <w:kinsoku w:val="0"/>
        <w:overflowPunct w:val="0"/>
        <w:spacing w:beforeLines="0" w:before="120" w:after="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601374">
      <w:pPr>
        <w:pStyle w:val="LGTdoc1"/>
        <w:numPr>
          <w:ilvl w:val="0"/>
          <w:numId w:val="24"/>
        </w:numPr>
        <w:kinsoku w:val="0"/>
        <w:overflowPunct w:val="0"/>
        <w:spacing w:beforeLines="0" w:before="120" w:after="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4B7BD9A8" w14:textId="0DEDFC35" w:rsidR="000622F7" w:rsidRDefault="00814CFC" w:rsidP="00601374">
      <w:pPr>
        <w:pStyle w:val="LGTdoc1"/>
        <w:keepNext/>
        <w:kinsoku w:val="0"/>
        <w:overflowPunct w:val="0"/>
        <w:spacing w:beforeLines="0" w:before="120" w:after="0" w:afterAutospacing="0"/>
      </w:pPr>
      <w:r>
        <w:object w:dxaOrig="13004" w:dyaOrig="4591" w14:anchorId="52A50223">
          <v:shape id="_x0000_i1026" type="#_x0000_t75" style="width:462.1pt;height:162.25pt" o:ole="">
            <v:imagedata r:id="rId16" o:title=""/>
          </v:shape>
          <o:OLEObject Type="Embed" ProgID="Visio.Drawing.11" ShapeID="_x0000_i1026" DrawAspect="Content" ObjectID="_1599658465" r:id="rId17"/>
        </w:object>
      </w:r>
    </w:p>
    <w:p w14:paraId="5204AAC3" w14:textId="2D3BB9B4" w:rsidR="000622F7" w:rsidRDefault="000622F7" w:rsidP="00601374">
      <w:pPr>
        <w:pStyle w:val="Caption"/>
        <w:kinsoku w:val="0"/>
        <w:jc w:val="center"/>
        <w:rPr>
          <w:b w:val="0"/>
        </w:rPr>
      </w:pPr>
      <w:bookmarkStart w:id="8" w:name="_Ref521331273"/>
      <w:r>
        <w:t xml:space="preserve">Figure </w:t>
      </w:r>
      <w:r>
        <w:fldChar w:fldCharType="begin"/>
      </w:r>
      <w:r>
        <w:instrText xml:space="preserve"> SEQ Figure \* ARABIC </w:instrText>
      </w:r>
      <w:r>
        <w:fldChar w:fldCharType="separate"/>
      </w:r>
      <w:r w:rsidR="00601374">
        <w:rPr>
          <w:noProof/>
        </w:rPr>
        <w:t>3</w:t>
      </w:r>
      <w:r>
        <w:fldChar w:fldCharType="end"/>
      </w:r>
      <w:bookmarkEnd w:id="8"/>
      <w:r>
        <w:t xml:space="preserve">: Mitigating </w:t>
      </w:r>
      <w:r w:rsidR="000A6F35">
        <w:t>H</w:t>
      </w:r>
      <w:r>
        <w:t xml:space="preserve">idden </w:t>
      </w:r>
      <w:r w:rsidR="000A6F35">
        <w:t>N</w:t>
      </w:r>
      <w:r>
        <w:t xml:space="preserve">ode </w:t>
      </w:r>
      <w:r w:rsidR="000A6F35">
        <w:t>I</w:t>
      </w:r>
      <w:r>
        <w:t>ssue with Channel Usage Indicat</w:t>
      </w:r>
      <w:r w:rsidR="000A6F35">
        <w:t>ion</w:t>
      </w:r>
      <w:r>
        <w:t xml:space="preserve"> </w:t>
      </w:r>
      <w:r w:rsidR="000A6F35">
        <w:t>S</w:t>
      </w:r>
      <w:r>
        <w:t>ignals</w:t>
      </w:r>
    </w:p>
    <w:p w14:paraId="71CA9CCD" w14:textId="37D27CAA" w:rsidR="00D26A8E" w:rsidRDefault="00E628ED" w:rsidP="00601374">
      <w:pPr>
        <w:pStyle w:val="LGTdoc1"/>
        <w:kinsoku w:val="0"/>
        <w:overflowPunct w:val="0"/>
        <w:spacing w:beforeLines="0" w:before="120" w:after="0" w:afterAutospacing="0"/>
        <w:rPr>
          <w:b w:val="0"/>
          <w:sz w:val="20"/>
        </w:rPr>
      </w:pPr>
      <w:r>
        <w:rPr>
          <w:b w:val="0"/>
          <w:sz w:val="20"/>
        </w:rPr>
        <w:t>Further details and performance results describing the benefits of such signalling is discussed in our companion contribution [</w:t>
      </w:r>
      <w:r w:rsidR="004633AA">
        <w:rPr>
          <w:b w:val="0"/>
          <w:sz w:val="20"/>
        </w:rPr>
        <w:t>4</w:t>
      </w:r>
      <w:r>
        <w:rPr>
          <w:b w:val="0"/>
          <w:sz w:val="20"/>
        </w:rPr>
        <w:t xml:space="preserve">]. </w:t>
      </w:r>
      <w:r w:rsidR="00674737" w:rsidRPr="0099677A">
        <w:rPr>
          <w:b w:val="0"/>
          <w:sz w:val="20"/>
        </w:rPr>
        <w:t xml:space="preserve">The </w:t>
      </w:r>
      <w:r w:rsidR="00CC3D96">
        <w:rPr>
          <w:b w:val="0"/>
          <w:sz w:val="20"/>
        </w:rPr>
        <w:t>multiple switching points</w:t>
      </w:r>
      <w:r w:rsidR="00674737" w:rsidRPr="0099677A">
        <w:rPr>
          <w:b w:val="0"/>
          <w:sz w:val="20"/>
        </w:rPr>
        <w:t xml:space="preserve"> enable extracting the benefits of such protocols.</w:t>
      </w:r>
      <w:r w:rsidR="00465BDF" w:rsidRPr="0099677A">
        <w:rPr>
          <w:b w:val="0"/>
          <w:sz w:val="20"/>
        </w:rPr>
        <w:t xml:space="preserve"> </w:t>
      </w:r>
    </w:p>
    <w:p w14:paraId="34E5B2B4" w14:textId="29057A1F" w:rsidR="00CC3D96" w:rsidRPr="00FA2D11" w:rsidRDefault="007B0C5F" w:rsidP="00601374">
      <w:pPr>
        <w:pStyle w:val="LGTdoc1"/>
        <w:kinsoku w:val="0"/>
        <w:overflowPunct w:val="0"/>
        <w:spacing w:beforeLines="0" w:before="120" w:after="0" w:afterAutospacing="0"/>
        <w:rPr>
          <w:sz w:val="20"/>
        </w:rPr>
      </w:pPr>
      <w:bookmarkStart w:id="9" w:name="p4"/>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601374">
        <w:rPr>
          <w:noProof/>
          <w:sz w:val="20"/>
        </w:rPr>
        <w:t>4</w:t>
      </w:r>
      <w:r w:rsidRPr="007B0C5F">
        <w:rPr>
          <w:sz w:val="20"/>
        </w:rPr>
        <w:fldChar w:fldCharType="end"/>
      </w:r>
      <w:r>
        <w:rPr>
          <w:sz w:val="20"/>
        </w:rPr>
        <w:t>:</w:t>
      </w:r>
      <w:r w:rsidR="00CC3D96" w:rsidRPr="00FA2D11">
        <w:rPr>
          <w:sz w:val="20"/>
        </w:rPr>
        <w:t xml:space="preserve"> Multiple </w:t>
      </w:r>
      <w:r w:rsidR="000A6F35" w:rsidRPr="00FA2D11">
        <w:rPr>
          <w:sz w:val="20"/>
        </w:rPr>
        <w:t>s</w:t>
      </w:r>
      <w:r w:rsidR="00CC3D96" w:rsidRPr="00FA2D11">
        <w:rPr>
          <w:sz w:val="20"/>
        </w:rPr>
        <w:t xml:space="preserve">witching points </w:t>
      </w:r>
      <w:r w:rsidR="00814CFC" w:rsidRPr="00FA2D11">
        <w:rPr>
          <w:sz w:val="20"/>
        </w:rPr>
        <w:t xml:space="preserve">in a TxOP </w:t>
      </w:r>
      <w:r w:rsidR="00CC3D96" w:rsidRPr="00FA2D11">
        <w:rPr>
          <w:sz w:val="20"/>
        </w:rPr>
        <w:t>enable</w:t>
      </w:r>
      <w:r w:rsidR="00814CFC" w:rsidRPr="00FA2D11">
        <w:rPr>
          <w:sz w:val="20"/>
        </w:rPr>
        <w:t>s</w:t>
      </w:r>
      <w:r w:rsidR="00CC3D96" w:rsidRPr="00FA2D11">
        <w:rPr>
          <w:sz w:val="20"/>
        </w:rPr>
        <w:t xml:space="preserve"> </w:t>
      </w:r>
      <w:r w:rsidR="006E34AE" w:rsidRPr="00FA2D11">
        <w:rPr>
          <w:sz w:val="20"/>
        </w:rPr>
        <w:t>introduction of receiver</w:t>
      </w:r>
      <w:r w:rsidR="00CC3D96" w:rsidRPr="00FA2D11">
        <w:rPr>
          <w:sz w:val="20"/>
        </w:rPr>
        <w:t xml:space="preserve"> based channel reservation schemes</w:t>
      </w:r>
    </w:p>
    <w:bookmarkEnd w:id="9"/>
    <w:p w14:paraId="5B76D0D4" w14:textId="1F75F9BB" w:rsidR="006C701B" w:rsidRPr="006C701B" w:rsidRDefault="00A0191B" w:rsidP="00601374">
      <w:pPr>
        <w:pStyle w:val="Heading2"/>
        <w:kinsoku w:val="0"/>
      </w:pPr>
      <w:r>
        <w:t>4</w:t>
      </w:r>
      <w:r w:rsidR="00522BEB">
        <w:t>.2</w:t>
      </w:r>
      <w:r w:rsidR="00522BEB">
        <w:tab/>
      </w:r>
      <w:r w:rsidR="00CC3D96">
        <w:t>Fast link adaptation</w:t>
      </w:r>
    </w:p>
    <w:p w14:paraId="338F4659" w14:textId="175689EC" w:rsidR="00FA2D11" w:rsidRDefault="0077537A" w:rsidP="00601374">
      <w:pPr>
        <w:pStyle w:val="LGTdoc1"/>
        <w:keepNext/>
        <w:kinsoku w:val="0"/>
        <w:overflowPunct w:val="0"/>
        <w:spacing w:beforeLines="0" w:before="120" w:after="0" w:afterAutospacing="0"/>
        <w:rPr>
          <w:b w:val="0"/>
          <w:sz w:val="20"/>
        </w:rPr>
      </w:pPr>
      <w:bookmarkStart w:id="10" w:name="_Hlk506206519"/>
      <w:r>
        <w:rPr>
          <w:b w:val="0"/>
          <w:sz w:val="20"/>
        </w:rPr>
        <w:t>Another application of t</w:t>
      </w:r>
      <w:r w:rsidR="00E02E59" w:rsidRPr="0099677A">
        <w:rPr>
          <w:b w:val="0"/>
          <w:sz w:val="20"/>
        </w:rPr>
        <w:t xml:space="preserve">he </w:t>
      </w:r>
      <w:r w:rsidR="00CC3D96">
        <w:rPr>
          <w:b w:val="0"/>
          <w:sz w:val="20"/>
        </w:rPr>
        <w:t>multiple switching point</w:t>
      </w:r>
      <w:r w:rsidR="00814CFC">
        <w:rPr>
          <w:b w:val="0"/>
          <w:sz w:val="20"/>
        </w:rPr>
        <w:t>s is</w:t>
      </w:r>
      <w:r w:rsidR="00E02E59" w:rsidRPr="0099677A">
        <w:rPr>
          <w:b w:val="0"/>
          <w:sz w:val="20"/>
        </w:rPr>
        <w:t xml:space="preserve"> for </w:t>
      </w:r>
      <w:r w:rsidR="00814CFC">
        <w:rPr>
          <w:b w:val="0"/>
          <w:sz w:val="20"/>
        </w:rPr>
        <w:t xml:space="preserve">enabling </w:t>
      </w:r>
      <w:r w:rsidR="00E02E59" w:rsidRPr="0099677A">
        <w:rPr>
          <w:b w:val="0"/>
          <w:sz w:val="20"/>
        </w:rPr>
        <w:t>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TxOPs</w:t>
      </w:r>
      <w:r>
        <w:rPr>
          <w:b w:val="0"/>
          <w:sz w:val="20"/>
        </w:rPr>
        <w:t>.</w:t>
      </w:r>
      <w:r w:rsidR="007D10DE" w:rsidRPr="0099677A">
        <w:rPr>
          <w:b w:val="0"/>
          <w:sz w:val="20"/>
        </w:rPr>
        <w:t xml:space="preserve"> </w:t>
      </w:r>
      <w:r>
        <w:rPr>
          <w:b w:val="0"/>
          <w:sz w:val="20"/>
        </w:rPr>
        <w:t>The</w:t>
      </w:r>
      <w:r w:rsidR="00B35C8D">
        <w:rPr>
          <w:b w:val="0"/>
          <w:sz w:val="20"/>
        </w:rPr>
        <w:t xml:space="preserve"> channel measurement opportunities</w:t>
      </w:r>
      <w:r>
        <w:rPr>
          <w:b w:val="0"/>
          <w:sz w:val="20"/>
        </w:rPr>
        <w:t xml:space="preserve"> are</w:t>
      </w:r>
      <w:r w:rsidR="007D10DE" w:rsidRPr="0099677A">
        <w:rPr>
          <w:b w:val="0"/>
          <w:sz w:val="20"/>
        </w:rPr>
        <w:t xml:space="preserv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00E02E59" w:rsidRPr="0099677A">
        <w:rPr>
          <w:b w:val="0"/>
          <w:sz w:val="20"/>
        </w:rPr>
        <w:t xml:space="preserve"> </w:t>
      </w:r>
      <w:bookmarkEnd w:id="10"/>
      <w:r w:rsidR="00E02E59" w:rsidRPr="0099677A">
        <w:rPr>
          <w:b w:val="0"/>
          <w:sz w:val="20"/>
        </w:rPr>
        <w:t xml:space="preserve">For DL link adaptation, the </w:t>
      </w:r>
      <w:r w:rsidR="00CC3D96">
        <w:rPr>
          <w:b w:val="0"/>
          <w:sz w:val="20"/>
        </w:rPr>
        <w:t>TxOP</w:t>
      </w:r>
      <w:r w:rsidR="00E02E59" w:rsidRPr="0099677A">
        <w:rPr>
          <w:b w:val="0"/>
          <w:sz w:val="20"/>
        </w:rPr>
        <w:t xml:space="preserve"> may include a CSI-RS transmission followed by CSI report by the UE. It may also include a trigger for SRS transmission in DL followed by an SRS transmission by the UE in UL (for example to determine reciprocity based precoding). For link adaptation in UL, the SRS </w:t>
      </w:r>
      <w:r w:rsidR="00726473" w:rsidRPr="0099677A">
        <w:rPr>
          <w:b w:val="0"/>
          <w:sz w:val="20"/>
        </w:rPr>
        <w:t>trigger</w:t>
      </w:r>
      <w:r w:rsidR="00B35C8D">
        <w:rPr>
          <w:b w:val="0"/>
          <w:sz w:val="20"/>
        </w:rPr>
        <w:t xml:space="preserve"> from gNB</w:t>
      </w:r>
      <w:r w:rsidR="00726473" w:rsidRPr="0099677A">
        <w:rPr>
          <w:b w:val="0"/>
          <w:sz w:val="20"/>
        </w:rPr>
        <w:t xml:space="preserve"> followed by SRS transmission by the UE can be used</w:t>
      </w:r>
      <w:r w:rsidR="00FA2D11">
        <w:rPr>
          <w:b w:val="0"/>
          <w:sz w:val="20"/>
        </w:rPr>
        <w:t xml:space="preserve"> prior to UL grants</w:t>
      </w:r>
      <w:r w:rsidR="00726473" w:rsidRPr="0099677A">
        <w:rPr>
          <w:b w:val="0"/>
          <w:sz w:val="20"/>
        </w:rPr>
        <w:t>.</w:t>
      </w:r>
      <w:r w:rsidR="006662B2">
        <w:rPr>
          <w:b w:val="0"/>
          <w:sz w:val="20"/>
        </w:rPr>
        <w:t xml:space="preserve"> </w:t>
      </w:r>
      <w:r w:rsidR="006662B2" w:rsidRPr="00FA2D11">
        <w:rPr>
          <w:b w:val="0"/>
          <w:sz w:val="20"/>
        </w:rPr>
        <w:fldChar w:fldCharType="begin"/>
      </w:r>
      <w:r w:rsidR="006662B2">
        <w:rPr>
          <w:b w:val="0"/>
          <w:sz w:val="20"/>
        </w:rPr>
        <w:instrText xml:space="preserve"> REF _Ref521332660 \h  \* MERGEFORMAT </w:instrText>
      </w:r>
      <w:r w:rsidR="006662B2" w:rsidRPr="00FA2D11">
        <w:rPr>
          <w:b w:val="0"/>
          <w:sz w:val="20"/>
        </w:rPr>
      </w:r>
      <w:r w:rsidR="006662B2" w:rsidRPr="00FA2D11">
        <w:rPr>
          <w:b w:val="0"/>
          <w:sz w:val="20"/>
        </w:rPr>
        <w:fldChar w:fldCharType="separate"/>
      </w:r>
      <w:r w:rsidR="00601374" w:rsidRPr="00601374">
        <w:rPr>
          <w:b w:val="0"/>
          <w:sz w:val="20"/>
        </w:rPr>
        <w:t xml:space="preserve">Figure </w:t>
      </w:r>
      <w:r w:rsidR="00601374" w:rsidRPr="00601374">
        <w:rPr>
          <w:b w:val="0"/>
          <w:sz w:val="20"/>
        </w:rPr>
        <w:t>4</w:t>
      </w:r>
      <w:r w:rsidR="006662B2" w:rsidRPr="00FA2D11">
        <w:rPr>
          <w:b w:val="0"/>
          <w:sz w:val="20"/>
        </w:rPr>
        <w:fldChar w:fldCharType="end"/>
      </w:r>
      <w:r w:rsidR="006662B2">
        <w:rPr>
          <w:b w:val="0"/>
          <w:sz w:val="20"/>
        </w:rPr>
        <w:t xml:space="preserve"> shows how the multiple </w:t>
      </w:r>
      <w:r w:rsidR="006662B2">
        <w:rPr>
          <w:b w:val="0"/>
          <w:sz w:val="20"/>
        </w:rPr>
        <w:lastRenderedPageBreak/>
        <w:t>switching points can be used to enable fast link adaptation.</w:t>
      </w:r>
      <w:r w:rsidR="00E02E59" w:rsidRPr="0099677A">
        <w:rPr>
          <w:b w:val="0"/>
          <w:sz w:val="20"/>
        </w:rPr>
        <w:t xml:space="preserve"> </w:t>
      </w:r>
      <w:r w:rsidR="00CC3D96">
        <w:rPr>
          <w:b w:val="0"/>
          <w:sz w:val="20"/>
        </w:rPr>
        <w:t>Note that if timelines don’t permit exchange of this signals back to back, we could have data transmissions in-between these signals</w:t>
      </w:r>
      <w:r w:rsidR="00A91DD6">
        <w:rPr>
          <w:b w:val="0"/>
          <w:sz w:val="20"/>
        </w:rPr>
        <w:t xml:space="preserve"> as well</w:t>
      </w:r>
      <w:r w:rsidR="00CC3D96">
        <w:rPr>
          <w:b w:val="0"/>
          <w:sz w:val="20"/>
        </w:rPr>
        <w:t>.</w:t>
      </w:r>
    </w:p>
    <w:p w14:paraId="664ED0C8" w14:textId="13A4C7BC" w:rsidR="003A4E18" w:rsidRDefault="003A4E18" w:rsidP="00601374">
      <w:pPr>
        <w:pStyle w:val="LGTdoc1"/>
        <w:keepNext/>
        <w:kinsoku w:val="0"/>
        <w:overflowPunct w:val="0"/>
        <w:spacing w:beforeLines="0" w:before="120" w:after="0" w:afterAutospacing="0"/>
      </w:pPr>
      <w:r>
        <w:object w:dxaOrig="15666" w:dyaOrig="6208" w14:anchorId="0CB71289">
          <v:shape id="_x0000_i1027" type="#_x0000_t75" style="width:467.45pt;height:185.9pt" o:ole="">
            <v:imagedata r:id="rId18" o:title=""/>
          </v:shape>
          <o:OLEObject Type="Embed" ProgID="Visio.Drawing.11" ShapeID="_x0000_i1027" DrawAspect="Content" ObjectID="_1599658466" r:id="rId19"/>
        </w:object>
      </w:r>
    </w:p>
    <w:p w14:paraId="78AC7FA4" w14:textId="7F3222F6" w:rsidR="003A4E18" w:rsidRPr="0099677A" w:rsidRDefault="003A4E18" w:rsidP="00601374">
      <w:pPr>
        <w:pStyle w:val="Caption"/>
        <w:kinsoku w:val="0"/>
        <w:jc w:val="center"/>
        <w:rPr>
          <w:b w:val="0"/>
        </w:rPr>
      </w:pPr>
      <w:bookmarkStart w:id="11" w:name="_Ref521332660"/>
      <w:r>
        <w:t xml:space="preserve">Figure </w:t>
      </w:r>
      <w:r>
        <w:fldChar w:fldCharType="begin"/>
      </w:r>
      <w:r>
        <w:instrText xml:space="preserve"> SEQ Figure \* ARABIC </w:instrText>
      </w:r>
      <w:r>
        <w:fldChar w:fldCharType="separate"/>
      </w:r>
      <w:r w:rsidR="00601374">
        <w:rPr>
          <w:noProof/>
        </w:rPr>
        <w:t>4</w:t>
      </w:r>
      <w:r>
        <w:fldChar w:fldCharType="end"/>
      </w:r>
      <w:bookmarkEnd w:id="11"/>
      <w:r>
        <w:t>: Examples of fast link adaptation enabled by multiple switching point support</w:t>
      </w:r>
    </w:p>
    <w:p w14:paraId="39D357F7" w14:textId="780F2DAC" w:rsidR="00620427" w:rsidRDefault="003A4E18" w:rsidP="00601374">
      <w:pPr>
        <w:pStyle w:val="LGTdoc1"/>
        <w:kinsoku w:val="0"/>
        <w:overflowPunct w:val="0"/>
        <w:spacing w:beforeLines="0" w:before="120" w:after="0" w:afterAutospacing="0"/>
        <w:rPr>
          <w:b w:val="0"/>
          <w:sz w:val="20"/>
        </w:rPr>
      </w:pPr>
      <w:r>
        <w:rPr>
          <w:b w:val="0"/>
          <w:sz w:val="20"/>
        </w:rPr>
        <w:t>In</w:t>
      </w:r>
      <w:r w:rsidR="00803387">
        <w:rPr>
          <w:b w:val="0"/>
          <w:sz w:val="20"/>
        </w:rPr>
        <w:t xml:space="preserve"> </w:t>
      </w:r>
      <w:r w:rsidR="00803387">
        <w:rPr>
          <w:b w:val="0"/>
          <w:sz w:val="20"/>
        </w:rPr>
        <w:fldChar w:fldCharType="begin"/>
      </w:r>
      <w:r w:rsidR="00803387">
        <w:rPr>
          <w:b w:val="0"/>
          <w:sz w:val="20"/>
        </w:rPr>
        <w:instrText xml:space="preserve"> REF _Ref521600307 \h  \* MERGEFORMAT </w:instrText>
      </w:r>
      <w:r w:rsidR="00803387">
        <w:rPr>
          <w:b w:val="0"/>
          <w:sz w:val="20"/>
        </w:rPr>
      </w:r>
      <w:r w:rsidR="00803387">
        <w:rPr>
          <w:b w:val="0"/>
          <w:sz w:val="20"/>
        </w:rPr>
        <w:fldChar w:fldCharType="separate"/>
      </w:r>
      <w:r w:rsidR="00601374" w:rsidRPr="00601374">
        <w:rPr>
          <w:b w:val="0"/>
          <w:sz w:val="20"/>
        </w:rPr>
        <w:t xml:space="preserve">Figure </w:t>
      </w:r>
      <w:r w:rsidR="00601374" w:rsidRPr="00601374">
        <w:rPr>
          <w:b w:val="0"/>
          <w:sz w:val="20"/>
        </w:rPr>
        <w:t>5</w:t>
      </w:r>
      <w:r w:rsidR="00803387">
        <w:rPr>
          <w:b w:val="0"/>
          <w:sz w:val="20"/>
        </w:rPr>
        <w:fldChar w:fldCharType="end"/>
      </w:r>
      <w:r w:rsidR="00803387">
        <w:rPr>
          <w:b w:val="0"/>
          <w:sz w:val="20"/>
        </w:rPr>
        <w:t xml:space="preserve"> and </w:t>
      </w:r>
      <w:r w:rsidR="00803387">
        <w:rPr>
          <w:b w:val="0"/>
          <w:sz w:val="20"/>
        </w:rPr>
        <w:fldChar w:fldCharType="begin"/>
      </w:r>
      <w:r w:rsidR="00803387">
        <w:rPr>
          <w:b w:val="0"/>
          <w:sz w:val="20"/>
        </w:rPr>
        <w:instrText xml:space="preserve"> REF _Ref521600309 \h  \* MERGEFORMAT </w:instrText>
      </w:r>
      <w:r w:rsidR="00803387">
        <w:rPr>
          <w:b w:val="0"/>
          <w:sz w:val="20"/>
        </w:rPr>
      </w:r>
      <w:r w:rsidR="00803387">
        <w:rPr>
          <w:b w:val="0"/>
          <w:sz w:val="20"/>
        </w:rPr>
        <w:fldChar w:fldCharType="separate"/>
      </w:r>
      <w:r w:rsidR="00601374" w:rsidRPr="00601374">
        <w:rPr>
          <w:b w:val="0"/>
          <w:sz w:val="20"/>
        </w:rPr>
        <w:t xml:space="preserve">Figure </w:t>
      </w:r>
      <w:r w:rsidR="00601374" w:rsidRPr="00601374">
        <w:rPr>
          <w:b w:val="0"/>
          <w:sz w:val="20"/>
        </w:rPr>
        <w:t>6</w:t>
      </w:r>
      <w:r w:rsidR="00803387">
        <w:rPr>
          <w:b w:val="0"/>
          <w:sz w:val="20"/>
        </w:rPr>
        <w:fldChar w:fldCharType="end"/>
      </w:r>
      <w:r>
        <w:rPr>
          <w:b w:val="0"/>
          <w:sz w:val="20"/>
        </w:rPr>
        <w:t xml:space="preserve"> we </w:t>
      </w:r>
      <w:r w:rsidR="00803387">
        <w:rPr>
          <w:b w:val="0"/>
          <w:sz w:val="20"/>
        </w:rPr>
        <w:t>show</w:t>
      </w:r>
      <w:r>
        <w:rPr>
          <w:b w:val="0"/>
          <w:sz w:val="20"/>
        </w:rPr>
        <w:t xml:space="preserve"> the </w:t>
      </w:r>
      <w:r w:rsidR="00803387">
        <w:rPr>
          <w:b w:val="0"/>
          <w:sz w:val="20"/>
        </w:rPr>
        <w:t xml:space="preserve">DL and UL user perceived throughput (UPT) </w:t>
      </w:r>
      <w:r>
        <w:rPr>
          <w:b w:val="0"/>
          <w:sz w:val="20"/>
        </w:rPr>
        <w:t>performance</w:t>
      </w:r>
      <w:r w:rsidR="00126F6E">
        <w:rPr>
          <w:b w:val="0"/>
          <w:sz w:val="20"/>
        </w:rPr>
        <w:t xml:space="preserve"> </w:t>
      </w:r>
      <w:r w:rsidR="00803387">
        <w:rPr>
          <w:b w:val="0"/>
          <w:sz w:val="20"/>
        </w:rPr>
        <w:t>for</w:t>
      </w:r>
    </w:p>
    <w:p w14:paraId="1D30D829" w14:textId="492A89B3" w:rsidR="00620427" w:rsidRDefault="00620427" w:rsidP="00601374">
      <w:pPr>
        <w:pStyle w:val="LGTdoc1"/>
        <w:numPr>
          <w:ilvl w:val="0"/>
          <w:numId w:val="33"/>
        </w:numPr>
        <w:kinsoku w:val="0"/>
        <w:overflowPunct w:val="0"/>
        <w:spacing w:beforeLines="0" w:before="120" w:after="0" w:afterAutospacing="0"/>
        <w:rPr>
          <w:b w:val="0"/>
          <w:sz w:val="20"/>
        </w:rPr>
      </w:pPr>
      <w:r>
        <w:rPr>
          <w:b w:val="0"/>
          <w:sz w:val="20"/>
        </w:rPr>
        <w:t>F</w:t>
      </w:r>
      <w:r w:rsidR="003A4E18">
        <w:rPr>
          <w:b w:val="0"/>
          <w:sz w:val="20"/>
        </w:rPr>
        <w:t>as</w:t>
      </w:r>
      <w:r>
        <w:rPr>
          <w:b w:val="0"/>
          <w:sz w:val="20"/>
        </w:rPr>
        <w:t>t CSI feedback under TxOP structure</w:t>
      </w:r>
      <w:r w:rsidR="003A4E18">
        <w:rPr>
          <w:b w:val="0"/>
          <w:sz w:val="20"/>
        </w:rPr>
        <w:t xml:space="preserve"> with multiple switching point</w:t>
      </w:r>
      <w:r w:rsidR="00DA35C5">
        <w:rPr>
          <w:b w:val="0"/>
          <w:sz w:val="20"/>
        </w:rPr>
        <w:t>s</w:t>
      </w:r>
    </w:p>
    <w:p w14:paraId="6D29EAA0" w14:textId="2BDC5467" w:rsidR="00620427" w:rsidRDefault="00620427" w:rsidP="00601374">
      <w:pPr>
        <w:pStyle w:val="LGTdoc1"/>
        <w:numPr>
          <w:ilvl w:val="0"/>
          <w:numId w:val="33"/>
        </w:numPr>
        <w:kinsoku w:val="0"/>
        <w:overflowPunct w:val="0"/>
        <w:spacing w:beforeLines="0" w:before="120" w:after="0" w:afterAutospacing="0"/>
        <w:rPr>
          <w:b w:val="0"/>
          <w:sz w:val="20"/>
        </w:rPr>
      </w:pPr>
      <w:r>
        <w:rPr>
          <w:b w:val="0"/>
          <w:sz w:val="20"/>
        </w:rPr>
        <w:t>N</w:t>
      </w:r>
      <w:r w:rsidR="00DA35C5">
        <w:rPr>
          <w:b w:val="0"/>
          <w:sz w:val="20"/>
        </w:rPr>
        <w:t xml:space="preserve">ormal </w:t>
      </w:r>
      <w:r w:rsidR="003A4E18">
        <w:rPr>
          <w:b w:val="0"/>
          <w:sz w:val="20"/>
        </w:rPr>
        <w:t>CSI feedback</w:t>
      </w:r>
      <w:r>
        <w:rPr>
          <w:b w:val="0"/>
          <w:sz w:val="20"/>
        </w:rPr>
        <w:t xml:space="preserve"> under TxOP structure with single switching point, where CSI</w:t>
      </w:r>
      <w:r w:rsidR="003A4E18">
        <w:rPr>
          <w:b w:val="0"/>
          <w:sz w:val="20"/>
        </w:rPr>
        <w:t xml:space="preserve"> </w:t>
      </w:r>
      <w:r>
        <w:rPr>
          <w:b w:val="0"/>
          <w:sz w:val="20"/>
        </w:rPr>
        <w:t xml:space="preserve">is </w:t>
      </w:r>
      <w:r w:rsidR="00803387">
        <w:rPr>
          <w:b w:val="0"/>
          <w:sz w:val="20"/>
        </w:rPr>
        <w:t>computed at</w:t>
      </w:r>
      <w:r w:rsidR="003A4E18">
        <w:rPr>
          <w:b w:val="0"/>
          <w:sz w:val="20"/>
        </w:rPr>
        <w:t xml:space="preserve"> end of previous TxOP</w:t>
      </w:r>
      <w:r>
        <w:rPr>
          <w:b w:val="0"/>
          <w:sz w:val="20"/>
        </w:rPr>
        <w:t>.</w:t>
      </w:r>
    </w:p>
    <w:p w14:paraId="6610F559" w14:textId="3659F32F" w:rsidR="00CC3D96" w:rsidRDefault="003A4E18" w:rsidP="00601374">
      <w:pPr>
        <w:pStyle w:val="LGTdoc1"/>
        <w:kinsoku w:val="0"/>
        <w:overflowPunct w:val="0"/>
        <w:spacing w:beforeLines="0" w:before="120" w:after="0" w:afterAutospacing="0"/>
        <w:rPr>
          <w:b w:val="0"/>
          <w:sz w:val="20"/>
        </w:rPr>
      </w:pPr>
      <w:r>
        <w:rPr>
          <w:b w:val="0"/>
          <w:sz w:val="20"/>
        </w:rPr>
        <w:t>Th</w:t>
      </w:r>
      <w:r w:rsidR="00126F6E">
        <w:rPr>
          <w:b w:val="0"/>
          <w:sz w:val="20"/>
        </w:rPr>
        <w:t>ese results are</w:t>
      </w:r>
      <w:r>
        <w:rPr>
          <w:b w:val="0"/>
          <w:sz w:val="20"/>
        </w:rPr>
        <w:t xml:space="preserve"> for the indoor simulation scenario agreed </w:t>
      </w:r>
      <w:r w:rsidR="00803387">
        <w:rPr>
          <w:b w:val="0"/>
          <w:sz w:val="20"/>
        </w:rPr>
        <w:t>in RAN1#93</w:t>
      </w:r>
      <w:r>
        <w:rPr>
          <w:b w:val="0"/>
          <w:sz w:val="20"/>
        </w:rPr>
        <w:t xml:space="preserve"> [5]</w:t>
      </w:r>
      <w:r w:rsidR="00126F6E">
        <w:rPr>
          <w:b w:val="0"/>
          <w:sz w:val="20"/>
        </w:rPr>
        <w:t xml:space="preserve">. Some additional simulation assumptions are provided in </w:t>
      </w:r>
      <w:r w:rsidR="00126F6E">
        <w:rPr>
          <w:b w:val="0"/>
          <w:sz w:val="20"/>
        </w:rPr>
        <w:fldChar w:fldCharType="begin"/>
      </w:r>
      <w:r w:rsidR="00126F6E">
        <w:rPr>
          <w:b w:val="0"/>
          <w:sz w:val="20"/>
        </w:rPr>
        <w:instrText xml:space="preserve"> REF _Ref521594428 \h  \* MERGEFORMAT </w:instrText>
      </w:r>
      <w:r w:rsidR="00126F6E">
        <w:rPr>
          <w:b w:val="0"/>
          <w:sz w:val="20"/>
        </w:rPr>
      </w:r>
      <w:r w:rsidR="00126F6E">
        <w:rPr>
          <w:b w:val="0"/>
          <w:sz w:val="20"/>
        </w:rPr>
        <w:fldChar w:fldCharType="separate"/>
      </w:r>
      <w:r w:rsidR="00601374" w:rsidRPr="00601374">
        <w:rPr>
          <w:b w:val="0"/>
          <w:sz w:val="20"/>
        </w:rPr>
        <w:t xml:space="preserve">Table </w:t>
      </w:r>
      <w:r w:rsidR="00601374" w:rsidRPr="00601374">
        <w:rPr>
          <w:b w:val="0"/>
          <w:sz w:val="20"/>
        </w:rPr>
        <w:t>1</w:t>
      </w:r>
      <w:r w:rsidR="00126F6E">
        <w:rPr>
          <w:b w:val="0"/>
          <w:sz w:val="20"/>
        </w:rPr>
        <w:fldChar w:fldCharType="end"/>
      </w:r>
      <w:r w:rsidR="00126F6E">
        <w:rPr>
          <w:b w:val="0"/>
          <w:sz w:val="20"/>
        </w:rPr>
        <w:t xml:space="preserve">. </w:t>
      </w:r>
      <w:r>
        <w:rPr>
          <w:b w:val="0"/>
          <w:sz w:val="20"/>
        </w:rPr>
        <w:t>As is evident from the plots, s</w:t>
      </w:r>
      <w:r w:rsidR="00CC3D96">
        <w:rPr>
          <w:b w:val="0"/>
          <w:sz w:val="20"/>
        </w:rPr>
        <w:t xml:space="preserve">upport of multiple switching points </w:t>
      </w:r>
      <w:r w:rsidR="00726473" w:rsidRPr="0099677A">
        <w:rPr>
          <w:b w:val="0"/>
          <w:sz w:val="20"/>
        </w:rPr>
        <w:t xml:space="preserve">helps </w:t>
      </w:r>
      <w:r>
        <w:rPr>
          <w:b w:val="0"/>
          <w:sz w:val="20"/>
        </w:rPr>
        <w:t xml:space="preserve">obtain </w:t>
      </w:r>
      <w:r w:rsidR="00726473" w:rsidRPr="0099677A">
        <w:rPr>
          <w:b w:val="0"/>
          <w:sz w:val="20"/>
        </w:rPr>
        <w:t xml:space="preserve">faster and more accurate selection of rank, precoder, and </w:t>
      </w:r>
      <w:r w:rsidR="00E02E59" w:rsidRPr="0099677A">
        <w:rPr>
          <w:b w:val="0"/>
          <w:sz w:val="20"/>
        </w:rPr>
        <w:t>MCS</w:t>
      </w:r>
      <w:r w:rsidR="00726473" w:rsidRPr="0099677A">
        <w:rPr>
          <w:b w:val="0"/>
          <w:sz w:val="20"/>
        </w:rPr>
        <w:t xml:space="preserve"> </w:t>
      </w:r>
      <w:r w:rsidR="007B0C5F">
        <w:rPr>
          <w:b w:val="0"/>
          <w:sz w:val="20"/>
        </w:rPr>
        <w:t>that is</w:t>
      </w:r>
      <w:r w:rsidR="00726473" w:rsidRPr="0099677A">
        <w:rPr>
          <w:b w:val="0"/>
          <w:sz w:val="20"/>
        </w:rPr>
        <w:t xml:space="preserve"> </w:t>
      </w:r>
      <w:r w:rsidR="00FA2D11">
        <w:rPr>
          <w:b w:val="0"/>
          <w:sz w:val="20"/>
        </w:rPr>
        <w:t xml:space="preserve">matched to the current channel and interference conditions </w:t>
      </w:r>
      <w:r w:rsidR="007B0C5F">
        <w:rPr>
          <w:b w:val="0"/>
          <w:sz w:val="20"/>
        </w:rPr>
        <w:t xml:space="preserve">leading </w:t>
      </w:r>
      <w:r w:rsidR="00726473" w:rsidRPr="0099677A">
        <w:rPr>
          <w:b w:val="0"/>
          <w:sz w:val="20"/>
        </w:rPr>
        <w:t>to</w:t>
      </w:r>
      <w:r w:rsidR="007B0C5F">
        <w:rPr>
          <w:b w:val="0"/>
          <w:sz w:val="20"/>
        </w:rPr>
        <w:t xml:space="preserve"> much</w:t>
      </w:r>
      <w:r w:rsidR="00726473" w:rsidRPr="0099677A">
        <w:rPr>
          <w:b w:val="0"/>
          <w:sz w:val="20"/>
        </w:rPr>
        <w:t xml:space="preserve"> more efficient operation during the data transmission.</w:t>
      </w:r>
      <w:r w:rsidR="00CC3D96">
        <w:rPr>
          <w:b w:val="0"/>
          <w:sz w:val="20"/>
        </w:rPr>
        <w:t xml:space="preserve"> </w:t>
      </w:r>
    </w:p>
    <w:p w14:paraId="29C204F5" w14:textId="55FBB7AF" w:rsidR="00803387" w:rsidRDefault="00FC7492" w:rsidP="00601374">
      <w:pPr>
        <w:pStyle w:val="LGTdoc1"/>
        <w:keepNext/>
        <w:kinsoku w:val="0"/>
        <w:overflowPunct w:val="0"/>
        <w:spacing w:beforeLines="0" w:before="120" w:after="0" w:afterAutospacing="0"/>
      </w:pPr>
      <w:r>
        <w:rPr>
          <w:noProof/>
        </w:rPr>
        <w:drawing>
          <wp:inline distT="0" distB="0" distL="0" distR="0" wp14:anchorId="31E6332C" wp14:editId="6745F3F3">
            <wp:extent cx="5943600" cy="2581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jpg"/>
                    <pic:cNvPicPr/>
                  </pic:nvPicPr>
                  <pic:blipFill>
                    <a:blip r:embed="rId20">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5C61A924" w14:textId="681FD640" w:rsidR="00126F6E" w:rsidRDefault="00803387" w:rsidP="00601374">
      <w:pPr>
        <w:pStyle w:val="Caption"/>
        <w:kinsoku w:val="0"/>
        <w:jc w:val="center"/>
        <w:rPr>
          <w:b w:val="0"/>
        </w:rPr>
      </w:pPr>
      <w:bookmarkStart w:id="12" w:name="_Ref521600307"/>
      <w:r>
        <w:t xml:space="preserve">Figure </w:t>
      </w:r>
      <w:r>
        <w:fldChar w:fldCharType="begin"/>
      </w:r>
      <w:r>
        <w:instrText xml:space="preserve"> SEQ Figure \* ARABIC </w:instrText>
      </w:r>
      <w:r>
        <w:fldChar w:fldCharType="separate"/>
      </w:r>
      <w:r w:rsidR="00601374">
        <w:rPr>
          <w:noProof/>
        </w:rPr>
        <w:t>5</w:t>
      </w:r>
      <w:r>
        <w:fldChar w:fldCharType="end"/>
      </w:r>
      <w:bookmarkEnd w:id="12"/>
      <w:r>
        <w:t>: Indoor Scenario DL UPT</w:t>
      </w:r>
    </w:p>
    <w:p w14:paraId="60FBA9B8" w14:textId="01728D85" w:rsidR="00803387" w:rsidRDefault="00803387" w:rsidP="00601374">
      <w:pPr>
        <w:pStyle w:val="LGTdoc1"/>
        <w:keepNext/>
        <w:kinsoku w:val="0"/>
        <w:overflowPunct w:val="0"/>
        <w:spacing w:beforeLines="0" w:before="120" w:after="0" w:afterAutospacing="0"/>
      </w:pPr>
      <w:r>
        <w:rPr>
          <w:noProof/>
        </w:rPr>
        <w:lastRenderedPageBreak/>
        <w:drawing>
          <wp:inline distT="0" distB="0" distL="0" distR="0" wp14:anchorId="1E0346CB" wp14:editId="7EBFA891">
            <wp:extent cx="5943600" cy="2581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jpg"/>
                    <pic:cNvPicPr/>
                  </pic:nvPicPr>
                  <pic:blipFill>
                    <a:blip r:embed="rId21">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0658539F" w14:textId="499D76EB" w:rsidR="00803387" w:rsidRDefault="00803387" w:rsidP="00601374">
      <w:pPr>
        <w:pStyle w:val="Caption"/>
        <w:kinsoku w:val="0"/>
        <w:jc w:val="center"/>
        <w:rPr>
          <w:b w:val="0"/>
        </w:rPr>
      </w:pPr>
      <w:bookmarkStart w:id="13" w:name="_Ref521600309"/>
      <w:r>
        <w:t xml:space="preserve">Figure </w:t>
      </w:r>
      <w:r>
        <w:fldChar w:fldCharType="begin"/>
      </w:r>
      <w:r>
        <w:instrText xml:space="preserve"> SEQ Figure \* ARABIC </w:instrText>
      </w:r>
      <w:r>
        <w:fldChar w:fldCharType="separate"/>
      </w:r>
      <w:r w:rsidR="00601374">
        <w:rPr>
          <w:noProof/>
        </w:rPr>
        <w:t>6</w:t>
      </w:r>
      <w:r>
        <w:fldChar w:fldCharType="end"/>
      </w:r>
      <w:bookmarkEnd w:id="13"/>
      <w:r>
        <w:t>: Indoor Scenario UL UPT</w:t>
      </w:r>
    </w:p>
    <w:p w14:paraId="4455950E" w14:textId="77777777" w:rsidR="00803387" w:rsidRDefault="00803387" w:rsidP="00601374">
      <w:pPr>
        <w:pStyle w:val="LGTdoc1"/>
        <w:kinsoku w:val="0"/>
        <w:overflowPunct w:val="0"/>
        <w:spacing w:beforeLines="0" w:before="120" w:after="0" w:afterAutospacing="0"/>
        <w:rPr>
          <w:b w:val="0"/>
          <w:sz w:val="20"/>
        </w:rPr>
      </w:pPr>
    </w:p>
    <w:p w14:paraId="064841D7" w14:textId="7BEF4064" w:rsidR="00126F6E" w:rsidRDefault="00126F6E" w:rsidP="00601374">
      <w:pPr>
        <w:pStyle w:val="Caption"/>
        <w:keepNext/>
        <w:kinsoku w:val="0"/>
        <w:jc w:val="center"/>
      </w:pPr>
      <w:bookmarkStart w:id="14" w:name="_Ref521594428"/>
      <w:r>
        <w:t xml:space="preserve">Table </w:t>
      </w:r>
      <w:r>
        <w:fldChar w:fldCharType="begin"/>
      </w:r>
      <w:r>
        <w:instrText xml:space="preserve"> SEQ Table \* ARABIC </w:instrText>
      </w:r>
      <w:r>
        <w:fldChar w:fldCharType="separate"/>
      </w:r>
      <w:r w:rsidR="00601374">
        <w:rPr>
          <w:noProof/>
        </w:rPr>
        <w:t>1</w:t>
      </w:r>
      <w:r>
        <w:fldChar w:fldCharType="end"/>
      </w:r>
      <w:bookmarkEnd w:id="14"/>
      <w:r>
        <w:t>: Simulation Assumptions for CSI with multiple switching points</w:t>
      </w:r>
    </w:p>
    <w:tbl>
      <w:tblPr>
        <w:tblStyle w:val="TableGrid"/>
        <w:tblW w:w="0" w:type="auto"/>
        <w:jc w:val="center"/>
        <w:tblLook w:val="0600" w:firstRow="0" w:lastRow="0" w:firstColumn="0" w:lastColumn="0" w:noHBand="1" w:noVBand="1"/>
      </w:tblPr>
      <w:tblGrid>
        <w:gridCol w:w="2753"/>
        <w:gridCol w:w="2753"/>
      </w:tblGrid>
      <w:tr w:rsidR="00126F6E" w14:paraId="126B3D79" w14:textId="77777777" w:rsidTr="00522BEB">
        <w:trPr>
          <w:trHeight w:val="264"/>
          <w:jc w:val="center"/>
        </w:trPr>
        <w:tc>
          <w:tcPr>
            <w:tcW w:w="2753" w:type="dxa"/>
            <w:shd w:val="clear" w:color="auto" w:fill="auto"/>
          </w:tcPr>
          <w:p w14:paraId="40AD6B30" w14:textId="4BF4DF86" w:rsidR="00126F6E" w:rsidRPr="00522BEB" w:rsidRDefault="00126F6E" w:rsidP="00601374">
            <w:pPr>
              <w:pStyle w:val="LGTdoc1"/>
              <w:kinsoku w:val="0"/>
              <w:overflowPunct w:val="0"/>
              <w:spacing w:beforeLines="0" w:before="120" w:after="0" w:afterAutospacing="0"/>
              <w:rPr>
                <w:sz w:val="22"/>
              </w:rPr>
            </w:pPr>
            <w:r w:rsidRPr="00522BEB">
              <w:rPr>
                <w:sz w:val="22"/>
              </w:rPr>
              <w:t>Parameter</w:t>
            </w:r>
          </w:p>
        </w:tc>
        <w:tc>
          <w:tcPr>
            <w:tcW w:w="2753" w:type="dxa"/>
            <w:shd w:val="clear" w:color="auto" w:fill="auto"/>
          </w:tcPr>
          <w:p w14:paraId="57F5F956" w14:textId="685B3E87" w:rsidR="00126F6E" w:rsidRPr="00522BEB" w:rsidRDefault="00126F6E" w:rsidP="00601374">
            <w:pPr>
              <w:pStyle w:val="LGTdoc1"/>
              <w:kinsoku w:val="0"/>
              <w:overflowPunct w:val="0"/>
              <w:spacing w:beforeLines="0" w:before="120" w:after="0" w:afterAutospacing="0"/>
              <w:rPr>
                <w:sz w:val="22"/>
              </w:rPr>
            </w:pPr>
            <w:r w:rsidRPr="00522BEB">
              <w:rPr>
                <w:sz w:val="22"/>
              </w:rPr>
              <w:t>Value</w:t>
            </w:r>
          </w:p>
        </w:tc>
      </w:tr>
      <w:tr w:rsidR="00126F6E" w14:paraId="2A043CD5" w14:textId="77777777" w:rsidTr="00522BEB">
        <w:trPr>
          <w:trHeight w:val="254"/>
          <w:jc w:val="center"/>
        </w:trPr>
        <w:tc>
          <w:tcPr>
            <w:tcW w:w="2753" w:type="dxa"/>
            <w:shd w:val="clear" w:color="auto" w:fill="auto"/>
          </w:tcPr>
          <w:p w14:paraId="37220DA5" w14:textId="1C6C2080" w:rsidR="00126F6E" w:rsidRPr="00522BEB" w:rsidRDefault="00126F6E" w:rsidP="00601374">
            <w:pPr>
              <w:pStyle w:val="LGTdoc1"/>
              <w:kinsoku w:val="0"/>
              <w:overflowPunct w:val="0"/>
              <w:spacing w:beforeLines="0" w:before="120" w:after="0" w:afterAutospacing="0"/>
              <w:rPr>
                <w:b w:val="0"/>
                <w:sz w:val="22"/>
              </w:rPr>
            </w:pPr>
            <w:r w:rsidRPr="00522BEB">
              <w:rPr>
                <w:b w:val="0"/>
                <w:sz w:val="22"/>
              </w:rPr>
              <w:t>DL and UL Traffic ratio</w:t>
            </w:r>
          </w:p>
        </w:tc>
        <w:tc>
          <w:tcPr>
            <w:tcW w:w="2753" w:type="dxa"/>
            <w:shd w:val="clear" w:color="auto" w:fill="auto"/>
          </w:tcPr>
          <w:p w14:paraId="30723FBF" w14:textId="445AD187" w:rsidR="00126F6E" w:rsidRPr="00522BEB" w:rsidRDefault="00126F6E" w:rsidP="00601374">
            <w:pPr>
              <w:pStyle w:val="LGTdoc1"/>
              <w:kinsoku w:val="0"/>
              <w:overflowPunct w:val="0"/>
              <w:spacing w:beforeLines="0" w:before="120" w:after="0" w:afterAutospacing="0"/>
              <w:rPr>
                <w:b w:val="0"/>
                <w:sz w:val="22"/>
              </w:rPr>
            </w:pPr>
            <w:r w:rsidRPr="00522BEB">
              <w:rPr>
                <w:b w:val="0"/>
                <w:sz w:val="22"/>
              </w:rPr>
              <w:t>50%, 50%</w:t>
            </w:r>
          </w:p>
        </w:tc>
      </w:tr>
      <w:tr w:rsidR="00126F6E" w14:paraId="663713EC" w14:textId="77777777" w:rsidTr="00522BEB">
        <w:trPr>
          <w:trHeight w:val="264"/>
          <w:jc w:val="center"/>
        </w:trPr>
        <w:tc>
          <w:tcPr>
            <w:tcW w:w="2753" w:type="dxa"/>
            <w:shd w:val="clear" w:color="auto" w:fill="auto"/>
          </w:tcPr>
          <w:p w14:paraId="7F9E84ED" w14:textId="161DDBA9" w:rsidR="00126F6E" w:rsidRPr="00522BEB" w:rsidRDefault="00126F6E" w:rsidP="00601374">
            <w:pPr>
              <w:pStyle w:val="LGTdoc1"/>
              <w:kinsoku w:val="0"/>
              <w:overflowPunct w:val="0"/>
              <w:spacing w:beforeLines="0" w:before="120" w:after="0" w:afterAutospacing="0"/>
              <w:rPr>
                <w:b w:val="0"/>
                <w:sz w:val="22"/>
              </w:rPr>
            </w:pPr>
            <w:r w:rsidRPr="00522BEB">
              <w:rPr>
                <w:b w:val="0"/>
                <w:sz w:val="22"/>
              </w:rPr>
              <w:t>Channel bandwidth</w:t>
            </w:r>
          </w:p>
        </w:tc>
        <w:tc>
          <w:tcPr>
            <w:tcW w:w="2753" w:type="dxa"/>
            <w:shd w:val="clear" w:color="auto" w:fill="auto"/>
          </w:tcPr>
          <w:p w14:paraId="7F5E7839" w14:textId="16E73C6C" w:rsidR="00126F6E" w:rsidRPr="00522BEB" w:rsidRDefault="00126F6E" w:rsidP="00601374">
            <w:pPr>
              <w:pStyle w:val="LGTdoc1"/>
              <w:kinsoku w:val="0"/>
              <w:overflowPunct w:val="0"/>
              <w:spacing w:beforeLines="0" w:before="120" w:after="0" w:afterAutospacing="0"/>
              <w:rPr>
                <w:b w:val="0"/>
                <w:sz w:val="22"/>
              </w:rPr>
            </w:pPr>
            <w:r w:rsidRPr="00522BEB">
              <w:rPr>
                <w:b w:val="0"/>
                <w:sz w:val="22"/>
              </w:rPr>
              <w:t>80MHz</w:t>
            </w:r>
          </w:p>
        </w:tc>
      </w:tr>
      <w:tr w:rsidR="00126F6E" w14:paraId="7539B37C" w14:textId="77777777" w:rsidTr="00522BEB">
        <w:trPr>
          <w:trHeight w:val="254"/>
          <w:jc w:val="center"/>
        </w:trPr>
        <w:tc>
          <w:tcPr>
            <w:tcW w:w="2753" w:type="dxa"/>
            <w:shd w:val="clear" w:color="auto" w:fill="auto"/>
          </w:tcPr>
          <w:p w14:paraId="6A043041" w14:textId="7EE3B457" w:rsidR="00126F6E" w:rsidRPr="00522BEB" w:rsidRDefault="00126F6E" w:rsidP="00601374">
            <w:pPr>
              <w:pStyle w:val="LGTdoc1"/>
              <w:kinsoku w:val="0"/>
              <w:overflowPunct w:val="0"/>
              <w:spacing w:beforeLines="0" w:before="120" w:after="0" w:afterAutospacing="0"/>
              <w:rPr>
                <w:b w:val="0"/>
                <w:sz w:val="22"/>
              </w:rPr>
            </w:pPr>
            <w:r w:rsidRPr="00522BEB">
              <w:rPr>
                <w:b w:val="0"/>
                <w:sz w:val="22"/>
              </w:rPr>
              <w:t>Antenna configuration</w:t>
            </w:r>
          </w:p>
        </w:tc>
        <w:tc>
          <w:tcPr>
            <w:tcW w:w="2753" w:type="dxa"/>
            <w:shd w:val="clear" w:color="auto" w:fill="auto"/>
          </w:tcPr>
          <w:p w14:paraId="3DBC208E" w14:textId="745D94DE" w:rsidR="00126F6E" w:rsidRPr="00522BEB" w:rsidRDefault="00126F6E" w:rsidP="00601374">
            <w:pPr>
              <w:pStyle w:val="LGTdoc1"/>
              <w:kinsoku w:val="0"/>
              <w:overflowPunct w:val="0"/>
              <w:spacing w:beforeLines="0" w:before="120" w:after="0" w:afterAutospacing="0"/>
              <w:rPr>
                <w:b w:val="0"/>
                <w:sz w:val="22"/>
              </w:rPr>
            </w:pPr>
            <w:r w:rsidRPr="00522BEB">
              <w:rPr>
                <w:b w:val="0"/>
                <w:sz w:val="22"/>
              </w:rPr>
              <w:t>4x4</w:t>
            </w:r>
          </w:p>
        </w:tc>
      </w:tr>
      <w:tr w:rsidR="00126F6E" w14:paraId="62CFE503" w14:textId="77777777" w:rsidTr="00522BEB">
        <w:trPr>
          <w:trHeight w:val="264"/>
          <w:jc w:val="center"/>
        </w:trPr>
        <w:tc>
          <w:tcPr>
            <w:tcW w:w="2753" w:type="dxa"/>
            <w:shd w:val="clear" w:color="auto" w:fill="auto"/>
          </w:tcPr>
          <w:p w14:paraId="41A79C53" w14:textId="097E166D" w:rsidR="00126F6E" w:rsidRPr="00522BEB" w:rsidRDefault="00126F6E" w:rsidP="00601374">
            <w:pPr>
              <w:pStyle w:val="LGTdoc1"/>
              <w:kinsoku w:val="0"/>
              <w:overflowPunct w:val="0"/>
              <w:spacing w:beforeLines="0" w:before="120" w:after="0" w:afterAutospacing="0"/>
              <w:rPr>
                <w:b w:val="0"/>
                <w:sz w:val="22"/>
              </w:rPr>
            </w:pPr>
            <w:r w:rsidRPr="00522BEB">
              <w:rPr>
                <w:b w:val="0"/>
                <w:sz w:val="22"/>
              </w:rPr>
              <w:t>Traffic pattern burst size</w:t>
            </w:r>
          </w:p>
        </w:tc>
        <w:tc>
          <w:tcPr>
            <w:tcW w:w="2753" w:type="dxa"/>
            <w:shd w:val="clear" w:color="auto" w:fill="auto"/>
          </w:tcPr>
          <w:p w14:paraId="5624F4CB" w14:textId="64F830F5" w:rsidR="00126F6E" w:rsidRPr="00522BEB" w:rsidRDefault="00126F6E" w:rsidP="00601374">
            <w:pPr>
              <w:pStyle w:val="LGTdoc1"/>
              <w:kinsoku w:val="0"/>
              <w:overflowPunct w:val="0"/>
              <w:spacing w:beforeLines="0" w:before="120" w:after="0" w:afterAutospacing="0"/>
              <w:rPr>
                <w:b w:val="0"/>
                <w:sz w:val="22"/>
              </w:rPr>
            </w:pPr>
            <w:r w:rsidRPr="00522BEB">
              <w:rPr>
                <w:b w:val="0"/>
                <w:sz w:val="22"/>
              </w:rPr>
              <w:t>2MB</w:t>
            </w:r>
          </w:p>
        </w:tc>
      </w:tr>
      <w:tr w:rsidR="00126F6E" w14:paraId="15DD920A" w14:textId="77777777" w:rsidTr="00522BEB">
        <w:trPr>
          <w:trHeight w:val="254"/>
          <w:jc w:val="center"/>
        </w:trPr>
        <w:tc>
          <w:tcPr>
            <w:tcW w:w="2753" w:type="dxa"/>
            <w:shd w:val="clear" w:color="auto" w:fill="auto"/>
          </w:tcPr>
          <w:p w14:paraId="2E4A6D49" w14:textId="363F6774" w:rsidR="00126F6E" w:rsidRPr="00522BEB" w:rsidRDefault="00126F6E" w:rsidP="00601374">
            <w:pPr>
              <w:pStyle w:val="LGTdoc1"/>
              <w:kinsoku w:val="0"/>
              <w:overflowPunct w:val="0"/>
              <w:spacing w:beforeLines="0" w:before="120" w:after="0" w:afterAutospacing="0"/>
              <w:rPr>
                <w:b w:val="0"/>
                <w:sz w:val="22"/>
              </w:rPr>
            </w:pPr>
            <w:r w:rsidRPr="00522BEB">
              <w:rPr>
                <w:b w:val="0"/>
                <w:sz w:val="22"/>
              </w:rPr>
              <w:t xml:space="preserve">ED Threshold </w:t>
            </w:r>
          </w:p>
        </w:tc>
        <w:tc>
          <w:tcPr>
            <w:tcW w:w="2753" w:type="dxa"/>
            <w:shd w:val="clear" w:color="auto" w:fill="auto"/>
          </w:tcPr>
          <w:p w14:paraId="784F50D9" w14:textId="7E4D824B" w:rsidR="00126F6E" w:rsidRPr="00522BEB" w:rsidRDefault="00126F6E" w:rsidP="00601374">
            <w:pPr>
              <w:pStyle w:val="LGTdoc1"/>
              <w:kinsoku w:val="0"/>
              <w:overflowPunct w:val="0"/>
              <w:spacing w:beforeLines="0" w:before="120" w:after="0" w:afterAutospacing="0"/>
              <w:rPr>
                <w:b w:val="0"/>
                <w:sz w:val="22"/>
              </w:rPr>
            </w:pPr>
            <w:r w:rsidRPr="00522BEB">
              <w:rPr>
                <w:b w:val="0"/>
                <w:sz w:val="22"/>
              </w:rPr>
              <w:t>-72dBm</w:t>
            </w:r>
          </w:p>
        </w:tc>
      </w:tr>
    </w:tbl>
    <w:p w14:paraId="402C172F" w14:textId="540EA285" w:rsidR="00814CFC" w:rsidRDefault="00814CFC" w:rsidP="00601374">
      <w:pPr>
        <w:pStyle w:val="LGTdoc1"/>
        <w:kinsoku w:val="0"/>
        <w:overflowPunct w:val="0"/>
        <w:spacing w:beforeLines="0" w:before="120" w:after="0" w:afterAutospacing="0"/>
        <w:rPr>
          <w:b w:val="0"/>
          <w:sz w:val="20"/>
        </w:rPr>
      </w:pPr>
    </w:p>
    <w:p w14:paraId="0DDF3D37" w14:textId="748DB43F" w:rsidR="00726473" w:rsidRPr="0099677A" w:rsidRDefault="00803387" w:rsidP="00601374">
      <w:pPr>
        <w:pStyle w:val="LGTdoc1"/>
        <w:kinsoku w:val="0"/>
        <w:overflowPunct w:val="0"/>
        <w:spacing w:beforeLines="0" w:before="120" w:after="0" w:afterAutospacing="0"/>
        <w:rPr>
          <w:b w:val="0"/>
          <w:sz w:val="20"/>
        </w:rPr>
      </w:pPr>
      <w:r>
        <w:rPr>
          <w:b w:val="0"/>
          <w:sz w:val="20"/>
        </w:rPr>
        <w:t>We also note that t</w:t>
      </w:r>
      <w:r w:rsidR="00CC3D96">
        <w:rPr>
          <w:b w:val="0"/>
          <w:sz w:val="20"/>
        </w:rPr>
        <w:t>he CQI reports from multiple UEs can also help gNB determine UEs that may not be seeing interference and thus it can select users to schedule in rest of the TxOP to achieve better system efficiency. Similar benefits also apply for UL scheduling. For example</w:t>
      </w:r>
      <w:r w:rsidR="00FB200A">
        <w:rPr>
          <w:b w:val="0"/>
          <w:sz w:val="20"/>
        </w:rPr>
        <w:t>,</w:t>
      </w:r>
      <w:r w:rsidR="00CC3D96">
        <w:rPr>
          <w:b w:val="0"/>
          <w:sz w:val="20"/>
        </w:rPr>
        <w:t xml:space="preserve"> if multiple UEs are scheduled </w:t>
      </w:r>
      <w:r w:rsidR="00FB200A">
        <w:rPr>
          <w:b w:val="0"/>
          <w:sz w:val="20"/>
        </w:rPr>
        <w:t xml:space="preserve">in UL </w:t>
      </w:r>
      <w:r w:rsidR="00CC3D96">
        <w:rPr>
          <w:b w:val="0"/>
          <w:sz w:val="20"/>
        </w:rPr>
        <w:t>but one of them doe</w:t>
      </w:r>
      <w:r w:rsidR="00847992">
        <w:rPr>
          <w:b w:val="0"/>
          <w:sz w:val="20"/>
        </w:rPr>
        <w:t>s</w:t>
      </w:r>
      <w:r w:rsidR="00CC3D96">
        <w:rPr>
          <w:b w:val="0"/>
          <w:sz w:val="20"/>
        </w:rPr>
        <w:t>n</w:t>
      </w:r>
      <w:r w:rsidR="00847992">
        <w:rPr>
          <w:b w:val="0"/>
          <w:sz w:val="20"/>
        </w:rPr>
        <w:t>’</w:t>
      </w:r>
      <w:r w:rsidR="00CC3D96">
        <w:rPr>
          <w:b w:val="0"/>
          <w:sz w:val="20"/>
        </w:rPr>
        <w:t xml:space="preserve">t transmit in UL </w:t>
      </w:r>
      <w:r w:rsidR="00847992">
        <w:rPr>
          <w:b w:val="0"/>
          <w:sz w:val="20"/>
        </w:rPr>
        <w:t>as it did not pass</w:t>
      </w:r>
      <w:r w:rsidR="00CC3D96">
        <w:rPr>
          <w:b w:val="0"/>
          <w:sz w:val="20"/>
        </w:rPr>
        <w:t xml:space="preserve"> LBT, </w:t>
      </w:r>
      <w:r w:rsidR="00847992">
        <w:rPr>
          <w:b w:val="0"/>
          <w:sz w:val="20"/>
        </w:rPr>
        <w:t xml:space="preserve">gNB can allocate those resources to other UEs in subsequent grants in the same TxOP. </w:t>
      </w:r>
      <w:r w:rsidR="00814CFC">
        <w:rPr>
          <w:b w:val="0"/>
          <w:sz w:val="20"/>
        </w:rPr>
        <w:t>Thus</w:t>
      </w:r>
      <w:r w:rsidR="007B0C5F">
        <w:rPr>
          <w:b w:val="0"/>
          <w:sz w:val="20"/>
        </w:rPr>
        <w:t>,</w:t>
      </w:r>
      <w:r w:rsidR="00814CFC">
        <w:rPr>
          <w:b w:val="0"/>
          <w:sz w:val="20"/>
        </w:rPr>
        <w:t xml:space="preserve"> support for multiple switching points in a TxOP</w:t>
      </w:r>
      <w:r>
        <w:rPr>
          <w:b w:val="0"/>
          <w:sz w:val="20"/>
        </w:rPr>
        <w:t xml:space="preserve"> also</w:t>
      </w:r>
      <w:r w:rsidR="00814CFC">
        <w:rPr>
          <w:b w:val="0"/>
          <w:sz w:val="20"/>
        </w:rPr>
        <w:t xml:space="preserve"> enables better user selection for scheduling.</w:t>
      </w:r>
      <w:r w:rsidR="00E02E59" w:rsidRPr="0099677A">
        <w:rPr>
          <w:b w:val="0"/>
          <w:sz w:val="20"/>
        </w:rPr>
        <w:t xml:space="preserve"> </w:t>
      </w:r>
      <w:r w:rsidR="00E03C00">
        <w:rPr>
          <w:b w:val="0"/>
          <w:sz w:val="20"/>
        </w:rPr>
        <w:t>Note that t</w:t>
      </w:r>
      <w:r w:rsidR="007B0C5F">
        <w:rPr>
          <w:b w:val="0"/>
          <w:sz w:val="20"/>
        </w:rPr>
        <w:t xml:space="preserve">he simulation results above do not consider </w:t>
      </w:r>
      <w:r w:rsidR="00E03C00">
        <w:rPr>
          <w:b w:val="0"/>
          <w:sz w:val="20"/>
        </w:rPr>
        <w:t xml:space="preserve">performance improvements from </w:t>
      </w:r>
      <w:r w:rsidR="007B0C5F">
        <w:rPr>
          <w:b w:val="0"/>
          <w:sz w:val="20"/>
        </w:rPr>
        <w:t>this aspect.</w:t>
      </w:r>
    </w:p>
    <w:p w14:paraId="7A62B4E4" w14:textId="56AD0BF2" w:rsidR="00594582" w:rsidRDefault="007B0C5F" w:rsidP="00601374">
      <w:pPr>
        <w:pStyle w:val="LGTdoc1"/>
        <w:kinsoku w:val="0"/>
        <w:overflowPunct w:val="0"/>
        <w:spacing w:beforeLines="0" w:before="120" w:after="0" w:afterAutospacing="0"/>
        <w:rPr>
          <w:sz w:val="20"/>
        </w:rPr>
      </w:pPr>
      <w:bookmarkStart w:id="15" w:name="p5"/>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601374">
        <w:rPr>
          <w:noProof/>
          <w:sz w:val="20"/>
        </w:rPr>
        <w:t>5</w:t>
      </w:r>
      <w:r w:rsidRPr="007B0C5F">
        <w:rPr>
          <w:sz w:val="20"/>
        </w:rPr>
        <w:fldChar w:fldCharType="end"/>
      </w:r>
      <w:r w:rsidR="00847992">
        <w:rPr>
          <w:sz w:val="20"/>
        </w:rPr>
        <w:t xml:space="preserve">: Multiple switching points </w:t>
      </w:r>
      <w:r w:rsidR="00814CFC">
        <w:rPr>
          <w:sz w:val="20"/>
        </w:rPr>
        <w:t xml:space="preserve">in a TxOP </w:t>
      </w:r>
      <w:r w:rsidR="00847992">
        <w:rPr>
          <w:sz w:val="20"/>
        </w:rPr>
        <w:t>enable</w:t>
      </w:r>
      <w:r w:rsidR="004B322B">
        <w:rPr>
          <w:sz w:val="20"/>
        </w:rPr>
        <w:t>s</w:t>
      </w:r>
      <w:r w:rsidR="00847992">
        <w:rPr>
          <w:sz w:val="20"/>
        </w:rPr>
        <w:t xml:space="preserve"> faster link adaptation</w:t>
      </w:r>
      <w:r w:rsidR="004B322B">
        <w:rPr>
          <w:sz w:val="20"/>
        </w:rPr>
        <w:t xml:space="preserve"> and better user selection</w:t>
      </w:r>
      <w:r w:rsidR="00847992">
        <w:rPr>
          <w:sz w:val="20"/>
        </w:rPr>
        <w:t xml:space="preserve"> leading</w:t>
      </w:r>
      <w:r w:rsidR="004B322B">
        <w:rPr>
          <w:sz w:val="20"/>
        </w:rPr>
        <w:t xml:space="preserve"> </w:t>
      </w:r>
      <w:r w:rsidR="00847992">
        <w:rPr>
          <w:sz w:val="20"/>
        </w:rPr>
        <w:t xml:space="preserve">to </w:t>
      </w:r>
      <w:r w:rsidR="00803387">
        <w:rPr>
          <w:sz w:val="20"/>
        </w:rPr>
        <w:t xml:space="preserve">significantly </w:t>
      </w:r>
      <w:r w:rsidR="00847992">
        <w:rPr>
          <w:sz w:val="20"/>
        </w:rPr>
        <w:t>improved system efficiency</w:t>
      </w:r>
    </w:p>
    <w:bookmarkEnd w:id="15"/>
    <w:p w14:paraId="0698ED75" w14:textId="77777777" w:rsidR="002236FA" w:rsidRDefault="002236FA" w:rsidP="00601374">
      <w:pPr>
        <w:kinsoku w:val="0"/>
        <w:wordWrap/>
        <w:overflowPunct w:val="0"/>
      </w:pPr>
    </w:p>
    <w:p w14:paraId="2965B26A" w14:textId="2A04F845" w:rsidR="002236FA" w:rsidRPr="002236FA" w:rsidRDefault="002236FA" w:rsidP="00601374">
      <w:pPr>
        <w:pStyle w:val="LGTdoc1"/>
        <w:kinsoku w:val="0"/>
        <w:overflowPunct w:val="0"/>
        <w:spacing w:beforeLines="0" w:before="120" w:after="0" w:afterAutospacing="0"/>
        <w:rPr>
          <w:b w:val="0"/>
          <w:sz w:val="20"/>
        </w:rPr>
      </w:pPr>
      <w:r w:rsidRPr="002236FA">
        <w:rPr>
          <w:b w:val="0"/>
          <w:sz w:val="20"/>
        </w:rPr>
        <w:t xml:space="preserve">Based on the observations above we should strive to support the NR HARQ timelines and fast CSI </w:t>
      </w:r>
      <w:r>
        <w:rPr>
          <w:b w:val="0"/>
          <w:sz w:val="20"/>
        </w:rPr>
        <w:t>feedback</w:t>
      </w:r>
      <w:r w:rsidRPr="002236FA">
        <w:rPr>
          <w:b w:val="0"/>
          <w:sz w:val="20"/>
        </w:rPr>
        <w:t xml:space="preserve"> in NR-U despite it requiring multiple switches between DL and UL. Depending on the time between the DL and UL switches, the feedback and following DL transmissions may not need any LBT gaps. Similar considerations apply for UL HARQ operation. Allowing grants between UL slots in TxOP provides gNB more scheduling flexibility such as for adapting the rate to changing interference conditions. We hence make the following proposal:</w:t>
      </w:r>
    </w:p>
    <w:p w14:paraId="3723CD0B" w14:textId="77777777" w:rsidR="002236FA" w:rsidRPr="002236FA" w:rsidRDefault="002236FA" w:rsidP="00601374">
      <w:pPr>
        <w:pStyle w:val="LGTdoc1"/>
        <w:kinsoku w:val="0"/>
        <w:overflowPunct w:val="0"/>
        <w:spacing w:beforeLines="0" w:before="120" w:after="0" w:afterAutospacing="0"/>
        <w:rPr>
          <w:b w:val="0"/>
          <w:sz w:val="20"/>
        </w:rPr>
      </w:pPr>
    </w:p>
    <w:p w14:paraId="6AC04E76" w14:textId="17548B4D" w:rsidR="002236FA" w:rsidRPr="002236FA" w:rsidRDefault="002236FA" w:rsidP="00601374">
      <w:pPr>
        <w:pStyle w:val="LGTdoc1"/>
        <w:kinsoku w:val="0"/>
        <w:overflowPunct w:val="0"/>
        <w:spacing w:beforeLines="0" w:before="120" w:after="0" w:afterAutospacing="0"/>
        <w:rPr>
          <w:sz w:val="20"/>
        </w:rPr>
      </w:pPr>
      <w:bookmarkStart w:id="16" w:name="p6"/>
      <w:r>
        <w:rPr>
          <w:sz w:val="20"/>
        </w:rPr>
        <w:t>Proposal</w:t>
      </w:r>
      <w:r w:rsidRPr="007B0C5F">
        <w:rPr>
          <w:sz w:val="20"/>
        </w:rPr>
        <w:t xml:space="preserve"> </w:t>
      </w:r>
      <w:r w:rsidRPr="007B0C5F">
        <w:rPr>
          <w:sz w:val="20"/>
        </w:rPr>
        <w:fldChar w:fldCharType="begin"/>
      </w:r>
      <w:r w:rsidRPr="007B0C5F">
        <w:rPr>
          <w:sz w:val="20"/>
        </w:rPr>
        <w:instrText xml:space="preserve"> seq prop </w:instrText>
      </w:r>
      <w:r w:rsidRPr="007B0C5F">
        <w:rPr>
          <w:sz w:val="20"/>
        </w:rPr>
        <w:fldChar w:fldCharType="separate"/>
      </w:r>
      <w:r w:rsidR="00601374">
        <w:rPr>
          <w:noProof/>
          <w:sz w:val="20"/>
        </w:rPr>
        <w:t>6</w:t>
      </w:r>
      <w:r w:rsidRPr="007B0C5F">
        <w:rPr>
          <w:sz w:val="20"/>
        </w:rPr>
        <w:fldChar w:fldCharType="end"/>
      </w:r>
      <w:r>
        <w:rPr>
          <w:sz w:val="20"/>
        </w:rPr>
        <w:t xml:space="preserve">: </w:t>
      </w:r>
      <w:r w:rsidRPr="002236FA">
        <w:rPr>
          <w:sz w:val="20"/>
        </w:rPr>
        <w:t>Switches between DL and UL for exchange of control information during data transmission should be supported. The switching should not require any LBT when the gap is within the regulatory requirements. This includes</w:t>
      </w:r>
    </w:p>
    <w:p w14:paraId="6E8EF628" w14:textId="77777777" w:rsidR="002236FA" w:rsidRPr="002236FA" w:rsidRDefault="002236FA" w:rsidP="00601374">
      <w:pPr>
        <w:pStyle w:val="LGTdoc1"/>
        <w:numPr>
          <w:ilvl w:val="0"/>
          <w:numId w:val="37"/>
        </w:numPr>
        <w:kinsoku w:val="0"/>
        <w:overflowPunct w:val="0"/>
        <w:spacing w:beforeLines="0" w:before="120" w:after="0" w:afterAutospacing="0"/>
        <w:rPr>
          <w:sz w:val="20"/>
        </w:rPr>
      </w:pPr>
      <w:r w:rsidRPr="002236FA">
        <w:rPr>
          <w:sz w:val="20"/>
        </w:rPr>
        <w:t>UCI transmission such as for HARQ ACK between DL slots carrying PDCCH/PDSCH</w:t>
      </w:r>
    </w:p>
    <w:p w14:paraId="7D864EF1" w14:textId="77777777" w:rsidR="002236FA" w:rsidRPr="002236FA" w:rsidRDefault="002236FA" w:rsidP="00601374">
      <w:pPr>
        <w:pStyle w:val="LGTdoc1"/>
        <w:numPr>
          <w:ilvl w:val="0"/>
          <w:numId w:val="37"/>
        </w:numPr>
        <w:kinsoku w:val="0"/>
        <w:overflowPunct w:val="0"/>
        <w:spacing w:beforeLines="0" w:before="120" w:after="0" w:afterAutospacing="0"/>
        <w:rPr>
          <w:sz w:val="20"/>
        </w:rPr>
      </w:pPr>
      <w:r w:rsidRPr="002236FA">
        <w:rPr>
          <w:sz w:val="20"/>
        </w:rPr>
        <w:t>DCI transmission such as for UL grants between UL slots carrying PUCCH/PUSCH</w:t>
      </w:r>
      <w:bookmarkEnd w:id="16"/>
    </w:p>
    <w:p w14:paraId="799841D9" w14:textId="77777777" w:rsidR="002236FA" w:rsidRDefault="002236FA" w:rsidP="00601374">
      <w:pPr>
        <w:pStyle w:val="LGTdoc1"/>
        <w:kinsoku w:val="0"/>
        <w:overflowPunct w:val="0"/>
        <w:spacing w:beforeLines="0" w:before="120" w:after="0" w:afterAutospacing="0"/>
        <w:rPr>
          <w:b w:val="0"/>
          <w:sz w:val="20"/>
        </w:rPr>
      </w:pPr>
    </w:p>
    <w:p w14:paraId="2669D9B3" w14:textId="77777777" w:rsidR="002236FA" w:rsidRDefault="002236FA" w:rsidP="00601374">
      <w:pPr>
        <w:pStyle w:val="LGTdoc1"/>
        <w:kinsoku w:val="0"/>
        <w:overflowPunct w:val="0"/>
        <w:spacing w:beforeLines="0" w:before="120" w:after="0" w:afterAutospacing="0"/>
        <w:rPr>
          <w:sz w:val="20"/>
        </w:rPr>
      </w:pPr>
    </w:p>
    <w:p w14:paraId="14F8C997" w14:textId="2E71FA26" w:rsidR="0095302F" w:rsidRDefault="00A0191B" w:rsidP="00601374">
      <w:pPr>
        <w:pStyle w:val="Heading2"/>
        <w:kinsoku w:val="0"/>
        <w:spacing w:after="0"/>
      </w:pPr>
      <w:r>
        <w:lastRenderedPageBreak/>
        <w:t>4</w:t>
      </w:r>
      <w:r w:rsidR="00B45132">
        <w:t xml:space="preserve">.3 </w:t>
      </w:r>
      <w:r w:rsidR="0095302F">
        <w:t>TxOP Starting/Ending Positions</w:t>
      </w:r>
    </w:p>
    <w:p w14:paraId="61F75F64" w14:textId="0B3D2746" w:rsidR="0097374C" w:rsidRPr="0099677A" w:rsidRDefault="0095302F" w:rsidP="00601374">
      <w:pPr>
        <w:pStyle w:val="LGTdoc1"/>
        <w:kinsoku w:val="0"/>
        <w:overflowPunct w:val="0"/>
        <w:spacing w:beforeLines="0" w:before="120" w:after="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TxOP starting positions are limited to slot boundaries this could result in significant wastage of the TxOP resources as shown in </w:t>
      </w:r>
      <w:r w:rsidR="004E1B19">
        <w:rPr>
          <w:b w:val="0"/>
          <w:sz w:val="20"/>
        </w:rPr>
        <w:fldChar w:fldCharType="begin"/>
      </w:r>
      <w:r w:rsidR="004E1B19">
        <w:rPr>
          <w:b w:val="0"/>
          <w:sz w:val="20"/>
        </w:rPr>
        <w:instrText xml:space="preserve"> REF _Ref513643387  \* MERGEFORMAT </w:instrText>
      </w:r>
      <w:r w:rsidR="004E1B19">
        <w:rPr>
          <w:b w:val="0"/>
          <w:sz w:val="20"/>
        </w:rPr>
        <w:fldChar w:fldCharType="separate"/>
      </w:r>
      <w:r w:rsidR="00601374" w:rsidRPr="00601374">
        <w:rPr>
          <w:b w:val="0"/>
          <w:sz w:val="20"/>
        </w:rPr>
        <w:t xml:space="preserve">Figure </w:t>
      </w:r>
      <w:r w:rsidR="00601374" w:rsidRPr="00601374">
        <w:rPr>
          <w:b w:val="0"/>
          <w:sz w:val="20"/>
        </w:rPr>
        <w:t>7</w:t>
      </w:r>
      <w:r w:rsidR="004E1B19">
        <w:rPr>
          <w:b w:val="0"/>
          <w:sz w:val="20"/>
        </w:rPr>
        <w:fldChar w:fldCharType="end"/>
      </w:r>
      <w:r w:rsidR="00847AB0" w:rsidRPr="0099677A">
        <w:rPr>
          <w:b w:val="0"/>
          <w:sz w:val="20"/>
        </w:rPr>
        <w:t xml:space="preserve"> </w:t>
      </w:r>
      <w:r w:rsidRPr="0099677A">
        <w:rPr>
          <w:b w:val="0"/>
          <w:sz w:val="20"/>
        </w:rPr>
        <w:t xml:space="preserve">below. </w:t>
      </w:r>
    </w:p>
    <w:p w14:paraId="19DCEC71" w14:textId="3BBF782D" w:rsidR="003359E4" w:rsidRDefault="00FB43ED" w:rsidP="00601374">
      <w:pPr>
        <w:pStyle w:val="ListParagraph"/>
        <w:keepNext/>
        <w:kinsoku w:val="0"/>
        <w:overflowPunct w:val="0"/>
        <w:ind w:leftChars="0" w:left="0"/>
        <w:jc w:val="center"/>
      </w:pPr>
      <w:r>
        <w:rPr>
          <w:rFonts w:ascii="Arial" w:hAnsi="Arial" w:cs="Arial"/>
        </w:rPr>
        <w:object w:dxaOrig="12767" w:dyaOrig="3285" w14:anchorId="6CD56B04">
          <v:shape id="_x0000_i1028" type="#_x0000_t75" style="width:342.25pt;height:90.25pt" o:ole="">
            <v:imagedata r:id="rId22" o:title=""/>
          </v:shape>
          <o:OLEObject Type="Embed" ProgID="Visio.Drawing.11" ShapeID="_x0000_i1028" DrawAspect="Content" ObjectID="_1599658467" r:id="rId23"/>
        </w:object>
      </w:r>
    </w:p>
    <w:p w14:paraId="4197F3E1" w14:textId="01C5E4FD" w:rsidR="003359E4" w:rsidRPr="0099677A" w:rsidRDefault="003359E4" w:rsidP="00601374">
      <w:pPr>
        <w:pStyle w:val="Caption"/>
        <w:kinsoku w:val="0"/>
        <w:spacing w:after="0"/>
        <w:jc w:val="center"/>
        <w:rPr>
          <w:rFonts w:ascii="Calibri" w:eastAsia="Times New Roman" w:hAnsi="Calibri" w:cs="Calibri"/>
          <w:color w:val="000000"/>
        </w:rPr>
      </w:pPr>
      <w:bookmarkStart w:id="17" w:name="_Ref513643387"/>
      <w:r>
        <w:t xml:space="preserve">Figure </w:t>
      </w:r>
      <w:r>
        <w:fldChar w:fldCharType="begin"/>
      </w:r>
      <w:r>
        <w:instrText xml:space="preserve"> SEQ Figure \* ARABIC </w:instrText>
      </w:r>
      <w:r>
        <w:fldChar w:fldCharType="separate"/>
      </w:r>
      <w:r w:rsidR="00601374">
        <w:rPr>
          <w:noProof/>
        </w:rPr>
        <w:t>7</w:t>
      </w:r>
      <w:r>
        <w:fldChar w:fldCharType="end"/>
      </w:r>
      <w:bookmarkEnd w:id="17"/>
      <w:r>
        <w:t>: Resource wastage if only full slot transmission</w:t>
      </w:r>
      <w:r w:rsidR="00FC7A26">
        <w:t>s</w:t>
      </w:r>
      <w:r>
        <w:t xml:space="preserve"> are allowed</w:t>
      </w:r>
    </w:p>
    <w:p w14:paraId="0D523AFD" w14:textId="1E02994D" w:rsidR="0095302F" w:rsidRPr="0099677A" w:rsidRDefault="0095302F" w:rsidP="00601374">
      <w:pPr>
        <w:pStyle w:val="LGTdoc1"/>
        <w:kinsoku w:val="0"/>
        <w:overflowPunct w:val="0"/>
        <w:spacing w:beforeLines="0" w:before="120" w:after="0" w:afterAutospacing="0"/>
        <w:rPr>
          <w:b w:val="0"/>
          <w:sz w:val="20"/>
        </w:rPr>
      </w:pPr>
      <w:r w:rsidRPr="0099677A">
        <w:rPr>
          <w:b w:val="0"/>
          <w:sz w:val="20"/>
        </w:rPr>
        <w:t xml:space="preserve">Similar issues were identified in LTE during design of LAA and eLAA. To reduce the </w:t>
      </w:r>
      <w:r w:rsidR="005F7851" w:rsidRPr="0099677A">
        <w:rPr>
          <w:b w:val="0"/>
          <w:sz w:val="20"/>
        </w:rPr>
        <w:t xml:space="preserve">TxOP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TxOP</w:t>
      </w:r>
      <w:r w:rsidRPr="0099677A">
        <w:rPr>
          <w:b w:val="0"/>
          <w:sz w:val="20"/>
        </w:rPr>
        <w:t xml:space="preserve"> was allowed </w:t>
      </w:r>
      <w:r w:rsidR="003359E4" w:rsidRPr="0099677A">
        <w:rPr>
          <w:b w:val="0"/>
          <w:sz w:val="20"/>
        </w:rPr>
        <w:t>to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was allowed to start at symbol 7 as well 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was allowed to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TxOP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466DB6DC" w14:textId="66EA5F40" w:rsidR="00830E76" w:rsidRDefault="0095302F" w:rsidP="00601374">
      <w:pPr>
        <w:pStyle w:val="body"/>
        <w:kinsoku w:val="0"/>
        <w:overflowPunct w:val="0"/>
        <w:spacing w:after="0"/>
      </w:pPr>
      <w:r w:rsidRPr="0099677A">
        <w:t xml:space="preserve">NR inherently already supports variable </w:t>
      </w:r>
      <w:r w:rsidR="00FC7A26" w:rsidRPr="0099677A">
        <w:t>time domain allocation</w:t>
      </w:r>
      <w:r w:rsidRPr="0099677A">
        <w:t xml:space="preserve"> sizes</w:t>
      </w:r>
      <w:r w:rsidR="005F7851" w:rsidRPr="0099677A">
        <w:t xml:space="preserve"> (e.g</w:t>
      </w:r>
      <w:r w:rsidR="006E34AE">
        <w:t>.</w:t>
      </w:r>
      <w:r w:rsidR="005F7851" w:rsidRPr="0099677A">
        <w:t xml:space="preserve"> mini slots,</w:t>
      </w:r>
      <w:r w:rsidR="00FC7A26" w:rsidRPr="0099677A">
        <w:t xml:space="preserve"> variable SCS,</w:t>
      </w:r>
      <w:r w:rsidR="005F7851" w:rsidRPr="0099677A">
        <w:t xml:space="preserve"> time domain symbol allocation support</w:t>
      </w:r>
      <w:r w:rsidR="00FC7A26" w:rsidRPr="0099677A">
        <w:t xml:space="preserve"> etc</w:t>
      </w:r>
      <w:r w:rsidR="006E34AE">
        <w:t>.</w:t>
      </w:r>
      <w:r w:rsidR="005F7851" w:rsidRPr="0099677A">
        <w:t>)</w:t>
      </w:r>
      <w:r w:rsidRPr="0099677A">
        <w:t xml:space="preserve"> hence </w:t>
      </w:r>
      <w:r w:rsidR="005F7851" w:rsidRPr="0099677A">
        <w:t>it should be able to better utilize the TxOP</w:t>
      </w:r>
      <w:r w:rsidR="00FC7A26" w:rsidRPr="0099677A">
        <w:t>. For the last slot in the TxOP particularly</w:t>
      </w:r>
      <w:r w:rsidR="00A90813" w:rsidRPr="0099677A">
        <w:t>,</w:t>
      </w:r>
      <w:r w:rsidR="00FC7A26" w:rsidRPr="0099677A">
        <w:t xml:space="preserve"> the </w:t>
      </w:r>
      <w:r w:rsidR="00A90813" w:rsidRPr="0099677A">
        <w:t xml:space="preserve">existing </w:t>
      </w:r>
      <w:r w:rsidR="00FC7A26" w:rsidRPr="0099677A">
        <w:t xml:space="preserve">NR design </w:t>
      </w:r>
      <w:r w:rsidR="00A90813" w:rsidRPr="0099677A">
        <w:t xml:space="preserve">itself </w:t>
      </w:r>
      <w:r w:rsidR="004D42B1" w:rsidRPr="0099677A">
        <w:t xml:space="preserve">should </w:t>
      </w:r>
      <w:r w:rsidR="00EE53FE" w:rsidRPr="0099677A">
        <w:t>likely be sufficient</w:t>
      </w:r>
      <w:r w:rsidR="00FC7A26" w:rsidRPr="0099677A">
        <w:t>.</w:t>
      </w:r>
      <w:r w:rsidR="005F7851" w:rsidRPr="0099677A">
        <w:t xml:space="preserve"> </w:t>
      </w:r>
      <w:r w:rsidR="00530807">
        <w:t xml:space="preserve">There has already been an agreement in RAN1#92bis to support </w:t>
      </w:r>
      <w:r w:rsidR="00EC21F7">
        <w:t xml:space="preserve">both slot and </w:t>
      </w:r>
      <w:r w:rsidR="00530807">
        <w:t>mini-slot</w:t>
      </w:r>
      <w:r w:rsidR="00EC21F7">
        <w:t xml:space="preserve"> based scheduling</w:t>
      </w:r>
      <w:r w:rsidR="00530807">
        <w:t xml:space="preserve">. </w:t>
      </w:r>
      <w:r w:rsidR="00EC21F7">
        <w:t>However, s</w:t>
      </w:r>
      <w:r w:rsidR="0093482D">
        <w:t xml:space="preserve">upport of smaller slots </w:t>
      </w:r>
      <w:r w:rsidR="008641CD">
        <w:t xml:space="preserve">and/or </w:t>
      </w:r>
      <w:r w:rsidR="0093482D">
        <w:t xml:space="preserve">using larger SCS </w:t>
      </w:r>
      <w:r w:rsidR="008641CD">
        <w:t>comes with some power penalty as well which needs to be considered</w:t>
      </w:r>
      <w:r w:rsidR="0093482D">
        <w:t>.</w:t>
      </w:r>
      <w:r w:rsidR="00EC21F7">
        <w:t xml:space="preserve"> </w:t>
      </w:r>
    </w:p>
    <w:p w14:paraId="59D84DB2" w14:textId="4B71A617" w:rsidR="0095302F" w:rsidRPr="0099677A" w:rsidRDefault="00830E76" w:rsidP="00601374">
      <w:pPr>
        <w:pStyle w:val="body"/>
        <w:kinsoku w:val="0"/>
        <w:overflowPunct w:val="0"/>
        <w:spacing w:after="0"/>
        <w:rPr>
          <w:b/>
        </w:rPr>
      </w:pPr>
      <w:r>
        <w:t>A</w:t>
      </w:r>
      <w:r w:rsidR="005F7851" w:rsidRPr="0099677A">
        <w:t xml:space="preserve">llowing multiple starting positions in the first slot requires the UE to monitor PDCCH more often </w:t>
      </w:r>
      <w:r w:rsidR="00FC7A26" w:rsidRPr="0099677A">
        <w:t xml:space="preserve">as shown in </w:t>
      </w:r>
      <w:r w:rsidR="004E1B19">
        <w:fldChar w:fldCharType="begin"/>
      </w:r>
      <w:r w:rsidR="004E1B19">
        <w:instrText xml:space="preserve"> REF _Ref513643424 </w:instrText>
      </w:r>
      <w:r w:rsidR="004E1B19">
        <w:fldChar w:fldCharType="separate"/>
      </w:r>
      <w:r w:rsidR="00601374">
        <w:t xml:space="preserve">Figure </w:t>
      </w:r>
      <w:r w:rsidR="00601374">
        <w:rPr>
          <w:noProof/>
        </w:rPr>
        <w:t>8</w:t>
      </w:r>
      <w:r w:rsidR="004E1B19">
        <w:fldChar w:fldCharType="end"/>
      </w:r>
      <w:r w:rsidR="004E1B19">
        <w:t xml:space="preserve"> </w:t>
      </w:r>
      <w:r w:rsidR="005F7851" w:rsidRPr="0099677A">
        <w:t xml:space="preserve">which comes with a power penalty. Some mechanisms can be studied that </w:t>
      </w:r>
      <w:r w:rsidR="00FC7A26" w:rsidRPr="0099677A">
        <w:t>allow multiple</w:t>
      </w:r>
      <w:r w:rsidR="005F7851" w:rsidRPr="0099677A">
        <w:t xml:space="preserve"> </w:t>
      </w:r>
      <w:r w:rsidR="00FC7A26" w:rsidRPr="0099677A">
        <w:t xml:space="preserve">starting </w:t>
      </w:r>
      <w:r w:rsidR="005F7851" w:rsidRPr="0099677A">
        <w:t>locations</w:t>
      </w:r>
      <w:r w:rsidR="00FC7A26" w:rsidRPr="0099677A">
        <w:t xml:space="preserve"> for the slot</w:t>
      </w:r>
      <w:r w:rsidR="005F7851" w:rsidRPr="0099677A">
        <w:t xml:space="preserve"> </w:t>
      </w:r>
      <w:r w:rsidR="00FC7A26" w:rsidRPr="0099677A">
        <w:t>but</w:t>
      </w:r>
      <w:r w:rsidR="005F7851" w:rsidRPr="0099677A">
        <w:t xml:space="preserve"> reduc</w:t>
      </w:r>
      <w:r w:rsidR="00FC7A26" w:rsidRPr="0099677A">
        <w:t>e</w:t>
      </w:r>
      <w:r w:rsidR="005F7851" w:rsidRPr="0099677A">
        <w:t xml:space="preserve"> the power impact </w:t>
      </w:r>
      <w:r w:rsidR="00FC7A26" w:rsidRPr="0099677A">
        <w:t>of</w:t>
      </w:r>
      <w:r w:rsidR="005F7851" w:rsidRPr="0099677A">
        <w:t xml:space="preserve"> UE monitoring </w:t>
      </w:r>
      <w:r w:rsidR="00FC7A26" w:rsidRPr="0099677A">
        <w:t xml:space="preserve">the </w:t>
      </w:r>
      <w:r w:rsidR="005F7851" w:rsidRPr="0099677A">
        <w:t xml:space="preserve">PDCCH more often. </w:t>
      </w:r>
      <w:r w:rsidR="00996BD7" w:rsidRPr="0099677A">
        <w:t xml:space="preserve"> For example</w:t>
      </w:r>
      <w:r w:rsidR="00FC7A26" w:rsidRPr="0099677A">
        <w:t>,</w:t>
      </w:r>
      <w:r w:rsidR="00996BD7" w:rsidRPr="0099677A">
        <w:t xml:space="preserve"> UE may be asked to monitor PDCCH for every mini slot prior to start of TxOP but only at slot boundary after the start of TxOP. Alternately, a wake</w:t>
      </w:r>
      <w:r w:rsidR="00EE53FE" w:rsidRPr="0099677A">
        <w:t>-</w:t>
      </w:r>
      <w:r w:rsidR="00996BD7" w:rsidRPr="0099677A">
        <w:t xml:space="preserve">up signal that can be detected with </w:t>
      </w:r>
      <w:r w:rsidR="00FC7A26" w:rsidRPr="0099677A">
        <w:t xml:space="preserve">very </w:t>
      </w:r>
      <w:r w:rsidR="00996BD7" w:rsidRPr="0099677A">
        <w:t>low power can be transmitted at the beginning of the TxOP</w:t>
      </w:r>
      <w:r w:rsidR="00FC7A26" w:rsidRPr="0099677A">
        <w:t xml:space="preserve"> so UE only monitors the wake</w:t>
      </w:r>
      <w:r w:rsidR="00EE53FE" w:rsidRPr="0099677A">
        <w:t>-</w:t>
      </w:r>
      <w:r w:rsidR="00FC7A26" w:rsidRPr="0099677A">
        <w:t>up signal outside the TxOP</w:t>
      </w:r>
      <w:r w:rsidR="00996BD7" w:rsidRPr="0099677A">
        <w:t>.</w:t>
      </w:r>
    </w:p>
    <w:p w14:paraId="79812ADF" w14:textId="44D79999" w:rsidR="003359E4" w:rsidRDefault="004F391C" w:rsidP="00601374">
      <w:pPr>
        <w:pStyle w:val="LGTdoc1"/>
        <w:keepNext/>
        <w:kinsoku w:val="0"/>
        <w:overflowPunct w:val="0"/>
        <w:spacing w:beforeLines="0" w:before="120" w:after="0" w:afterAutospacing="0"/>
        <w:jc w:val="center"/>
      </w:pPr>
      <w:r>
        <w:rPr>
          <w:rFonts w:ascii="Arial" w:hAnsi="Arial" w:cs="Arial"/>
          <w:lang w:val="en-US"/>
        </w:rPr>
        <w:object w:dxaOrig="12053" w:dyaOrig="3496" w14:anchorId="3D7A7043">
          <v:shape id="_x0000_i1029" type="#_x0000_t75" style="width:420.2pt;height:126.25pt" o:ole="">
            <v:imagedata r:id="rId24" o:title=""/>
          </v:shape>
          <o:OLEObject Type="Embed" ProgID="Visio.Drawing.11" ShapeID="_x0000_i1029" DrawAspect="Content" ObjectID="_1599658468" r:id="rId25"/>
        </w:object>
      </w:r>
    </w:p>
    <w:p w14:paraId="7228CB86" w14:textId="73AF839E" w:rsidR="0095302F" w:rsidRDefault="003359E4" w:rsidP="00601374">
      <w:pPr>
        <w:pStyle w:val="Caption"/>
        <w:kinsoku w:val="0"/>
        <w:spacing w:after="0"/>
        <w:jc w:val="center"/>
      </w:pPr>
      <w:bookmarkStart w:id="18" w:name="_Ref513643424"/>
      <w:r>
        <w:t xml:space="preserve">Figure </w:t>
      </w:r>
      <w:r>
        <w:fldChar w:fldCharType="begin"/>
      </w:r>
      <w:r>
        <w:instrText xml:space="preserve"> SEQ Figure \* ARABIC </w:instrText>
      </w:r>
      <w:r>
        <w:fldChar w:fldCharType="separate"/>
      </w:r>
      <w:r w:rsidR="00601374">
        <w:rPr>
          <w:noProof/>
        </w:rPr>
        <w:t>8</w:t>
      </w:r>
      <w:r>
        <w:fldChar w:fldCharType="end"/>
      </w:r>
      <w:bookmarkEnd w:id="18"/>
      <w:r>
        <w:t>: PDCCH monitoring with multiple starting positions for TxOP</w:t>
      </w:r>
    </w:p>
    <w:p w14:paraId="6D8E7828" w14:textId="54C969BF" w:rsidR="00594582" w:rsidRDefault="00594582" w:rsidP="00601374">
      <w:pPr>
        <w:pStyle w:val="LGTdoc1"/>
        <w:kinsoku w:val="0"/>
        <w:overflowPunct w:val="0"/>
        <w:spacing w:beforeLines="0" w:before="120" w:after="0" w:afterAutospacing="0"/>
        <w:rPr>
          <w:sz w:val="20"/>
        </w:rPr>
      </w:pPr>
      <w:bookmarkStart w:id="19" w:name="p7"/>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601374">
        <w:rPr>
          <w:noProof/>
          <w:sz w:val="20"/>
        </w:rPr>
        <w:t>7</w:t>
      </w:r>
      <w:r w:rsidR="006C212E">
        <w:rPr>
          <w:sz w:val="20"/>
        </w:rPr>
        <w:fldChar w:fldCharType="end"/>
      </w:r>
      <w:r w:rsidRPr="006C212E">
        <w:rPr>
          <w:sz w:val="20"/>
        </w:rPr>
        <w:t>: Consider techniques such as use of wake</w:t>
      </w:r>
      <w:r w:rsidR="00EE53FE" w:rsidRPr="006C212E">
        <w:rPr>
          <w:sz w:val="20"/>
        </w:rPr>
        <w:t>-</w:t>
      </w:r>
      <w:r w:rsidRPr="006C212E">
        <w:rPr>
          <w:sz w:val="20"/>
        </w:rPr>
        <w:t>up signal to reduce power consumption impact of allowing multiple start locations for a TxOP</w:t>
      </w:r>
    </w:p>
    <w:bookmarkEnd w:id="19"/>
    <w:p w14:paraId="49353272" w14:textId="01D4E9E7" w:rsidR="008105BD" w:rsidRDefault="00CB7AFB" w:rsidP="00601374">
      <w:pPr>
        <w:pStyle w:val="body"/>
        <w:kinsoku w:val="0"/>
        <w:overflowPunct w:val="0"/>
      </w:pPr>
      <w:r>
        <w:t xml:space="preserve">Another challenge with the multiple starting location is that the gNB or UE (in case of UL allocation with multiple starting position options) doesn’t know beforehand if it </w:t>
      </w:r>
      <w:r w:rsidR="00936958">
        <w:t xml:space="preserve">has </w:t>
      </w:r>
      <w:r>
        <w:t xml:space="preserve">a full slot </w:t>
      </w:r>
      <w:r w:rsidR="00936958">
        <w:t>available</w:t>
      </w:r>
      <w:r>
        <w:t xml:space="preserve"> or </w:t>
      </w:r>
      <w:r w:rsidR="00936958">
        <w:t xml:space="preserve">a </w:t>
      </w:r>
      <w:r>
        <w:t xml:space="preserve">partial slot </w:t>
      </w:r>
      <w:r w:rsidR="00936958">
        <w:t>/</w:t>
      </w:r>
      <w:r>
        <w:t xml:space="preserve"> mini-slot as that depends on when the LBT passes. One option is for gNB/UE to pre-prepare multiple packets corresponding to the different possibilities of LBT passing. However, this involves high complexity</w:t>
      </w:r>
      <w:r w:rsidR="00C23CF8">
        <w:t xml:space="preserve"> at UE/gNB. An alternate option</w:t>
      </w:r>
      <w:r>
        <w:t xml:space="preserve"> is to allow the UE/gNB to prepare packets for a larger number of symbols (e.g. the full slot) and puncture </w:t>
      </w:r>
      <w:r w:rsidR="00D81592">
        <w:t>some</w:t>
      </w:r>
      <w:r>
        <w:t xml:space="preserve"> symbols </w:t>
      </w:r>
      <w:r w:rsidR="00D81592">
        <w:t xml:space="preserve">to fit into the available portion of the slot. With CBG based HARQ </w:t>
      </w:r>
      <w:r w:rsidR="00936958">
        <w:t>operation</w:t>
      </w:r>
      <w:r w:rsidR="00D81592">
        <w:t xml:space="preserve"> the impact of the puncturing can be contained. </w:t>
      </w:r>
    </w:p>
    <w:p w14:paraId="612A5BF2" w14:textId="2D5F78A2" w:rsidR="00D81592" w:rsidRDefault="00D81592" w:rsidP="00601374">
      <w:pPr>
        <w:pStyle w:val="LGTdoc1"/>
        <w:kinsoku w:val="0"/>
        <w:overflowPunct w:val="0"/>
        <w:spacing w:beforeLines="0" w:before="120" w:after="0" w:afterAutospacing="0"/>
        <w:rPr>
          <w:sz w:val="20"/>
        </w:rPr>
      </w:pPr>
      <w:bookmarkStart w:id="20" w:name="p8"/>
      <w:r w:rsidRPr="006C212E">
        <w:rPr>
          <w:sz w:val="20"/>
        </w:rPr>
        <w:t xml:space="preserve">Proposal </w:t>
      </w:r>
      <w:r>
        <w:rPr>
          <w:sz w:val="20"/>
        </w:rPr>
        <w:fldChar w:fldCharType="begin"/>
      </w:r>
      <w:r>
        <w:rPr>
          <w:sz w:val="20"/>
        </w:rPr>
        <w:instrText xml:space="preserve"> seq prop </w:instrText>
      </w:r>
      <w:r>
        <w:rPr>
          <w:sz w:val="20"/>
        </w:rPr>
        <w:fldChar w:fldCharType="separate"/>
      </w:r>
      <w:r w:rsidR="00601374">
        <w:rPr>
          <w:noProof/>
          <w:sz w:val="20"/>
        </w:rPr>
        <w:t>8</w:t>
      </w:r>
      <w:r>
        <w:rPr>
          <w:sz w:val="20"/>
        </w:rPr>
        <w:fldChar w:fldCharType="end"/>
      </w:r>
      <w:r w:rsidRPr="006C212E">
        <w:rPr>
          <w:sz w:val="20"/>
        </w:rPr>
        <w:t xml:space="preserve">: </w:t>
      </w:r>
      <w:r>
        <w:rPr>
          <w:sz w:val="20"/>
        </w:rPr>
        <w:t xml:space="preserve">For the first data transmission after an LBT opportunity, NR-U supports rate matching of PDSCH/PUSCH for a larger number of symbols than those </w:t>
      </w:r>
      <w:r w:rsidR="008B3F05">
        <w:rPr>
          <w:sz w:val="20"/>
        </w:rPr>
        <w:t>used</w:t>
      </w:r>
      <w:r>
        <w:rPr>
          <w:sz w:val="20"/>
        </w:rPr>
        <w:t xml:space="preserve"> for data transmission in combination with symbol level puncturing</w:t>
      </w:r>
    </w:p>
    <w:bookmarkEnd w:id="20"/>
    <w:p w14:paraId="0BD27CF5" w14:textId="77777777" w:rsidR="00D81592" w:rsidRDefault="00D81592" w:rsidP="00601374">
      <w:pPr>
        <w:pStyle w:val="body"/>
        <w:kinsoku w:val="0"/>
        <w:overflowPunct w:val="0"/>
      </w:pPr>
    </w:p>
    <w:p w14:paraId="0AB2589F" w14:textId="68636C0E" w:rsidR="00B45132" w:rsidRDefault="00B45132" w:rsidP="00601374">
      <w:pPr>
        <w:pStyle w:val="Heading1"/>
        <w:kinsoku w:val="0"/>
        <w:spacing w:after="0"/>
      </w:pPr>
      <w:r>
        <w:lastRenderedPageBreak/>
        <w:t>TxOP Structure for FBE</w:t>
      </w:r>
    </w:p>
    <w:p w14:paraId="570C1E18" w14:textId="3D4FFDB3" w:rsidR="00174A71" w:rsidRPr="006F4278" w:rsidRDefault="00A32931" w:rsidP="00601374">
      <w:pPr>
        <w:pStyle w:val="body"/>
        <w:kinsoku w:val="0"/>
        <w:overflowPunct w:val="0"/>
        <w:spacing w:after="0"/>
        <w:rPr>
          <w:lang w:eastAsia="en-US"/>
        </w:rPr>
      </w:pPr>
      <w:r>
        <w:t>Based on</w:t>
      </w:r>
      <w:r w:rsidR="00174A71">
        <w:t xml:space="preserve"> the regulation</w:t>
      </w:r>
      <w:r>
        <w:t>s</w:t>
      </w:r>
      <w:r w:rsidR="00174A71">
        <w:t xml:space="preserve"> in [</w:t>
      </w:r>
      <w:r w:rsidR="004633AA">
        <w:t>3</w:t>
      </w:r>
      <w:r w:rsidR="00174A71">
        <w:t xml:space="preserve">], the fixed frame period of an FBE </w:t>
      </w:r>
      <w:r>
        <w:t>is as</w:t>
      </w:r>
      <w:r w:rsidR="00174A71">
        <w:t xml:space="preserve"> shown in </w:t>
      </w:r>
      <w:r w:rsidR="00174A71">
        <w:fldChar w:fldCharType="begin"/>
      </w:r>
      <w:r w:rsidR="00174A71">
        <w:instrText xml:space="preserve"> REF _Ref510436103 \h </w:instrText>
      </w:r>
      <w:r w:rsidR="00174A71">
        <w:fldChar w:fldCharType="separate"/>
      </w:r>
      <w:r w:rsidR="00601374">
        <w:t xml:space="preserve">Figure </w:t>
      </w:r>
      <w:r w:rsidR="00601374">
        <w:rPr>
          <w:noProof/>
        </w:rPr>
        <w:t>9</w:t>
      </w:r>
      <w:r w:rsidR="00174A71">
        <w:fldChar w:fldCharType="end"/>
      </w:r>
      <w:r w:rsidR="00174A71">
        <w:t xml:space="preserve">. </w:t>
      </w:r>
      <w:r>
        <w:rPr>
          <w:lang w:eastAsia="en-US"/>
        </w:rPr>
        <w:t>A</w:t>
      </w:r>
      <w:r w:rsidR="006F4278">
        <w:rPr>
          <w:lang w:eastAsia="en-US"/>
        </w:rPr>
        <w:t xml:space="preserve">n initiating device (gNB) will occupy the channel at the beginning of the fixed frame period after an one-shot LBT, but within the CoT, multiple transmissions can happen </w:t>
      </w:r>
      <w:r>
        <w:rPr>
          <w:lang w:eastAsia="en-US"/>
        </w:rPr>
        <w:t>provided they pass</w:t>
      </w:r>
      <w:r w:rsidR="006F4278">
        <w:rPr>
          <w:lang w:eastAsia="en-US"/>
        </w:rPr>
        <w:t xml:space="preserve"> an one-shot LBT. </w:t>
      </w:r>
    </w:p>
    <w:p w14:paraId="7FD1C342" w14:textId="3AA0F7D8" w:rsidR="00174A71" w:rsidRDefault="0008487F" w:rsidP="00601374">
      <w:pPr>
        <w:keepNext/>
        <w:kinsoku w:val="0"/>
        <w:wordWrap/>
        <w:overflowPunct w:val="0"/>
      </w:pPr>
      <w:r w:rsidRPr="00BD2764">
        <w:rPr>
          <w:lang w:eastAsia="en-US"/>
        </w:rPr>
        <w:object w:dxaOrig="15424" w:dyaOrig="4455" w14:anchorId="05C28B84">
          <v:shape id="_x0000_i1030" type="#_x0000_t75" style="width:468pt;height:138.1pt" o:ole="">
            <v:imagedata r:id="rId26" o:title=""/>
          </v:shape>
          <o:OLEObject Type="Embed" ProgID="Visio.Drawing.11" ShapeID="_x0000_i1030" DrawAspect="Content" ObjectID="_1599658469" r:id="rId27"/>
        </w:object>
      </w:r>
    </w:p>
    <w:p w14:paraId="406575D2" w14:textId="0A584A58" w:rsidR="00B45132" w:rsidRDefault="00174A71" w:rsidP="00601374">
      <w:pPr>
        <w:pStyle w:val="Caption"/>
        <w:kinsoku w:val="0"/>
        <w:spacing w:after="0"/>
        <w:jc w:val="center"/>
        <w:rPr>
          <w:noProof/>
        </w:rPr>
      </w:pPr>
      <w:bookmarkStart w:id="21" w:name="_Ref510436103"/>
      <w:r>
        <w:t xml:space="preserve">Figure </w:t>
      </w:r>
      <w:r>
        <w:fldChar w:fldCharType="begin"/>
      </w:r>
      <w:r>
        <w:instrText xml:space="preserve"> SEQ Figure \* ARABIC </w:instrText>
      </w:r>
      <w:r>
        <w:fldChar w:fldCharType="separate"/>
      </w:r>
      <w:r w:rsidR="00601374">
        <w:rPr>
          <w:noProof/>
        </w:rPr>
        <w:t>9</w:t>
      </w:r>
      <w:r>
        <w:fldChar w:fldCharType="end"/>
      </w:r>
      <w:bookmarkEnd w:id="21"/>
      <w:r>
        <w:t>. Fixed Frame Period Structure</w:t>
      </w:r>
      <w:r>
        <w:rPr>
          <w:noProof/>
        </w:rPr>
        <w:t xml:space="preserve"> for FBE by Regulation</w:t>
      </w:r>
    </w:p>
    <w:p w14:paraId="7C7BA613" w14:textId="52CFC1EB" w:rsidR="006F4278" w:rsidRDefault="006F4278" w:rsidP="00601374">
      <w:pPr>
        <w:pStyle w:val="body"/>
        <w:kinsoku w:val="0"/>
        <w:overflowPunct w:val="0"/>
        <w:spacing w:after="0"/>
        <w:rPr>
          <w:lang w:eastAsia="en-US"/>
        </w:rPr>
      </w:pPr>
      <w:r>
        <w:rPr>
          <w:lang w:eastAsia="en-US"/>
        </w:rPr>
        <w:t xml:space="preserve">Because of the aligned timeline, FBE channel access mechanism is friendly for coordinated deployment where all nodes are synchronized with the same fixed frame period boundary, so all nodes (gNBs) contend for the medium at around the same time. When there </w:t>
      </w:r>
      <w:r w:rsidR="00DB6B8B">
        <w:rPr>
          <w:lang w:eastAsia="en-US"/>
        </w:rPr>
        <w:t>are</w:t>
      </w:r>
      <w:r>
        <w:rPr>
          <w:lang w:eastAsia="en-US"/>
        </w:rPr>
        <w:t xml:space="preserve"> neighboring </w:t>
      </w:r>
      <w:r w:rsidR="00DB6B8B">
        <w:rPr>
          <w:lang w:eastAsia="en-US"/>
        </w:rPr>
        <w:t>Wi</w:t>
      </w:r>
      <w:r w:rsidR="006E34AE">
        <w:rPr>
          <w:lang w:eastAsia="en-US"/>
        </w:rPr>
        <w:t>-</w:t>
      </w:r>
      <w:r w:rsidR="00DB6B8B">
        <w:rPr>
          <w:lang w:eastAsia="en-US"/>
        </w:rPr>
        <w:t xml:space="preserve">Fi </w:t>
      </w:r>
      <w:r>
        <w:rPr>
          <w:lang w:eastAsia="en-US"/>
        </w:rPr>
        <w:t>nodes or other LBE nodes, this approach may penalize the FBE nodes a</w:t>
      </w:r>
      <w:r w:rsidR="00DB6B8B">
        <w:rPr>
          <w:lang w:eastAsia="en-US"/>
        </w:rPr>
        <w:t>s</w:t>
      </w:r>
      <w:r>
        <w:rPr>
          <w:lang w:eastAsia="en-US"/>
        </w:rPr>
        <w:t xml:space="preserve"> the FBE nodes will sense the channel at a fixed location, and if that fixed location is blocked, the FBE nodes cannot access the medium. This </w:t>
      </w:r>
      <w:r w:rsidR="00DB6B8B">
        <w:rPr>
          <w:lang w:eastAsia="en-US"/>
        </w:rPr>
        <w:t>was one of</w:t>
      </w:r>
      <w:r>
        <w:rPr>
          <w:lang w:eastAsia="en-US"/>
        </w:rPr>
        <w:t xml:space="preserve"> the main reason</w:t>
      </w:r>
      <w:r w:rsidR="006E34AE">
        <w:rPr>
          <w:lang w:eastAsia="en-US"/>
        </w:rPr>
        <w:t>s</w:t>
      </w:r>
      <w:r>
        <w:rPr>
          <w:lang w:eastAsia="en-US"/>
        </w:rPr>
        <w:t xml:space="preserve"> why FBE channel access mechanism was not considered for LTE-LAA feature. </w:t>
      </w:r>
      <w:r w:rsidR="00DB6B8B">
        <w:rPr>
          <w:lang w:eastAsia="en-US"/>
        </w:rPr>
        <w:t>However</w:t>
      </w:r>
      <w:r>
        <w:rPr>
          <w:lang w:eastAsia="en-US"/>
        </w:rPr>
        <w:t xml:space="preserve">, for a fully coordinated deployment (such as industrial automation), where there is one </w:t>
      </w:r>
      <w:r w:rsidR="00A9188B">
        <w:rPr>
          <w:lang w:eastAsia="en-US"/>
        </w:rPr>
        <w:t xml:space="preserve">operator </w:t>
      </w:r>
      <w:r>
        <w:rPr>
          <w:lang w:eastAsia="en-US"/>
        </w:rPr>
        <w:t xml:space="preserve">or a few coordinated operators, and the operators </w:t>
      </w:r>
      <w:r w:rsidR="00DB6B8B">
        <w:rPr>
          <w:lang w:eastAsia="en-US"/>
        </w:rPr>
        <w:t>ensure</w:t>
      </w:r>
      <w:r>
        <w:rPr>
          <w:lang w:eastAsia="en-US"/>
        </w:rPr>
        <w:t xml:space="preserve"> there </w:t>
      </w:r>
      <w:r w:rsidR="00DB6B8B">
        <w:rPr>
          <w:lang w:eastAsia="en-US"/>
        </w:rPr>
        <w:t>are</w:t>
      </w:r>
      <w:r>
        <w:rPr>
          <w:lang w:eastAsia="en-US"/>
        </w:rPr>
        <w:t xml:space="preserve"> no LBE nodes around, the FBE channel access mechanism has the benefits of more efficient channel access, potential synchronized channel access</w:t>
      </w:r>
      <w:r w:rsidR="00A9188B">
        <w:rPr>
          <w:lang w:eastAsia="en-US"/>
        </w:rPr>
        <w:t xml:space="preserve"> to support more efficient receiver design, etc.</w:t>
      </w:r>
    </w:p>
    <w:p w14:paraId="7A17C4E2" w14:textId="58174B57" w:rsidR="00977EAA" w:rsidRDefault="00977EAA" w:rsidP="00601374">
      <w:pPr>
        <w:pStyle w:val="body"/>
        <w:kinsoku w:val="0"/>
        <w:overflowPunct w:val="0"/>
        <w:spacing w:after="0"/>
        <w:rPr>
          <w:lang w:eastAsia="en-US"/>
        </w:rPr>
      </w:pPr>
      <w:r>
        <w:rPr>
          <w:lang w:eastAsia="en-US"/>
        </w:rPr>
        <w:t xml:space="preserve">In most Industrial IoT applications, the factory owner is the single operator in the system. The factor can enforce rules to avoid any other deployment on the same frequency on the factory floor. </w:t>
      </w:r>
      <w:r w:rsidR="00C66EDE">
        <w:rPr>
          <w:lang w:eastAsia="en-US"/>
        </w:rPr>
        <w:t>Therefore single operator FBE operation is of particular importance to be investigated.</w:t>
      </w:r>
    </w:p>
    <w:p w14:paraId="10B22286" w14:textId="323B7E7E" w:rsidR="00C66EDE" w:rsidRDefault="00C66EDE" w:rsidP="00601374">
      <w:pPr>
        <w:pStyle w:val="body"/>
        <w:kinsoku w:val="0"/>
        <w:overflowPunct w:val="0"/>
        <w:spacing w:after="0"/>
        <w:rPr>
          <w:lang w:eastAsia="en-US"/>
        </w:rPr>
      </w:pPr>
      <w:r>
        <w:rPr>
          <w:lang w:eastAsia="en-US"/>
        </w:rPr>
        <w:t>As overviewed in Section 2, the regulation requirement for FBE device is relatively simple. The gNB only need to perform single LBT at a fixed time to claim the fixed length COT. After the gNB claims the COT, the operation will be very</w:t>
      </w:r>
      <w:r w:rsidR="003B520C">
        <w:rPr>
          <w:lang w:eastAsia="en-US"/>
        </w:rPr>
        <w:t xml:space="preserve"> close to licensed NR operation, other than one shot LBT is needed again if the gap between the transmission is above 16 us. Therefore, we expect single operator FBE NR-U can be supported with Rel.15 NR design and additionally with one shot LBT defined for NR-U. </w:t>
      </w:r>
    </w:p>
    <w:p w14:paraId="3A6BCB00" w14:textId="6E95536B" w:rsidR="00977EAA" w:rsidRDefault="00D220E4" w:rsidP="00601374">
      <w:pPr>
        <w:pStyle w:val="body"/>
        <w:kinsoku w:val="0"/>
        <w:overflowPunct w:val="0"/>
        <w:spacing w:after="0"/>
        <w:rPr>
          <w:b/>
          <w:lang w:eastAsia="en-US"/>
        </w:rPr>
      </w:pPr>
      <w:bookmarkStart w:id="22" w:name="p9"/>
      <w:r>
        <w:rPr>
          <w:b/>
          <w:lang w:eastAsia="en-US"/>
        </w:rPr>
        <w:t>Observation</w:t>
      </w:r>
      <w:r w:rsidR="00977EAA" w:rsidRPr="00977EAA">
        <w:rPr>
          <w:b/>
          <w:lang w:eastAsia="en-US"/>
        </w:rPr>
        <w:t xml:space="preserve"> </w:t>
      </w:r>
      <w:r w:rsidR="00977EAA" w:rsidRPr="00977EAA">
        <w:rPr>
          <w:b/>
          <w:lang w:eastAsia="en-US"/>
        </w:rPr>
        <w:fldChar w:fldCharType="begin"/>
      </w:r>
      <w:r w:rsidR="00977EAA" w:rsidRPr="00977EAA">
        <w:rPr>
          <w:b/>
          <w:lang w:eastAsia="en-US"/>
        </w:rPr>
        <w:instrText xml:space="preserve"> seq prop </w:instrText>
      </w:r>
      <w:r w:rsidR="00977EAA" w:rsidRPr="00977EAA">
        <w:rPr>
          <w:b/>
          <w:lang w:eastAsia="en-US"/>
        </w:rPr>
        <w:fldChar w:fldCharType="separate"/>
      </w:r>
      <w:r w:rsidR="00601374">
        <w:rPr>
          <w:b/>
          <w:noProof/>
          <w:lang w:eastAsia="en-US"/>
        </w:rPr>
        <w:t>9</w:t>
      </w:r>
      <w:r w:rsidR="00977EAA" w:rsidRPr="00977EAA">
        <w:rPr>
          <w:b/>
          <w:lang w:eastAsia="en-US"/>
        </w:rPr>
        <w:fldChar w:fldCharType="end"/>
      </w:r>
      <w:r w:rsidR="00977EAA" w:rsidRPr="00977EAA">
        <w:rPr>
          <w:b/>
          <w:lang w:eastAsia="en-US"/>
        </w:rPr>
        <w:t xml:space="preserve">. </w:t>
      </w:r>
      <w:r w:rsidR="00977EAA">
        <w:rPr>
          <w:b/>
          <w:lang w:eastAsia="en-US"/>
        </w:rPr>
        <w:t>S</w:t>
      </w:r>
      <w:r w:rsidR="00977EAA" w:rsidRPr="00977EAA">
        <w:rPr>
          <w:b/>
          <w:lang w:eastAsia="en-US"/>
        </w:rPr>
        <w:t xml:space="preserve">ingle operator FBE </w:t>
      </w:r>
      <w:r w:rsidR="00977EAA">
        <w:rPr>
          <w:b/>
          <w:lang w:eastAsia="en-US"/>
        </w:rPr>
        <w:t>based system can be supported with Rel.15 NR design with one shot LBT mechanism developed for NR-U</w:t>
      </w:r>
    </w:p>
    <w:bookmarkEnd w:id="22"/>
    <w:p w14:paraId="6D5A01D3" w14:textId="46FE47E5" w:rsidR="003B520C" w:rsidRDefault="00096428" w:rsidP="00601374">
      <w:pPr>
        <w:pStyle w:val="body"/>
        <w:kinsoku w:val="0"/>
        <w:overflowPunct w:val="0"/>
        <w:spacing w:after="0"/>
        <w:rPr>
          <w:lang w:eastAsia="en-US"/>
        </w:rPr>
      </w:pPr>
      <w:r>
        <w:rPr>
          <w:lang w:eastAsia="en-US"/>
        </w:rPr>
        <w:t>For an NR system to follow FBE regulation, the gNB needs to align the FBE fixed frame period staring location with the slot boundary of every N slots, where N slots matches the fixed frame period in length. Then before the starting location of the fixed frame period, the gNB will perform an one shot LBT to determine the availability of the COT. At the end of the fixed frame period, the gNB is responsible to leave an idle period of length no shorter than 100 us or 5% of the fixed frame period. This can be simply enforced by gNB scheduler.</w:t>
      </w:r>
    </w:p>
    <w:p w14:paraId="2418E64C" w14:textId="4F46D44B" w:rsidR="00096428" w:rsidRDefault="00096428" w:rsidP="00601374">
      <w:pPr>
        <w:pStyle w:val="body"/>
        <w:kinsoku w:val="0"/>
        <w:overflowPunct w:val="0"/>
        <w:spacing w:after="0"/>
        <w:rPr>
          <w:lang w:eastAsia="en-US"/>
        </w:rPr>
      </w:pPr>
      <w:r>
        <w:rPr>
          <w:lang w:eastAsia="en-US"/>
        </w:rPr>
        <w:t>For the one shot LBT at the beginning of the fixed frame period, since there is only one operator in the neighbourhood, the operator can configure all gNBs to align their fixed frame periods, so all the gNBs will perform the one shot LBT at the same time. Unless there is unexpected interferer, all gNBs will pass the one shot LBT, as no nodes from the operator are transmitting by scheduler coordination.</w:t>
      </w:r>
      <w:r w:rsidR="00AC011C">
        <w:rPr>
          <w:lang w:eastAsia="en-US"/>
        </w:rPr>
        <w:t xml:space="preserve"> As a result, a reuse factor of 1 can be achieved.</w:t>
      </w:r>
    </w:p>
    <w:p w14:paraId="1AC0B46D" w14:textId="77777777" w:rsidR="00770545" w:rsidRDefault="00770545" w:rsidP="00601374">
      <w:pPr>
        <w:pStyle w:val="body"/>
        <w:kinsoku w:val="0"/>
        <w:overflowPunct w:val="0"/>
        <w:spacing w:after="0"/>
        <w:rPr>
          <w:lang w:eastAsia="en-US"/>
        </w:rPr>
      </w:pPr>
      <w:r>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on the gNB that wins the contention can transmit within the COT, where the winning gNB is the initiating device and the served UEs are responding devices in FBE. </w:t>
      </w:r>
    </w:p>
    <w:p w14:paraId="6DD672FE" w14:textId="77777777" w:rsidR="00770545" w:rsidRDefault="00770545" w:rsidP="00601374">
      <w:pPr>
        <w:pStyle w:val="body"/>
        <w:kinsoku w:val="0"/>
        <w:overflowPunct w:val="0"/>
        <w:spacing w:after="0"/>
        <w:rPr>
          <w:lang w:eastAsia="en-US"/>
        </w:rPr>
      </w:pPr>
      <w:r w:rsidRPr="00BD2764">
        <w:rPr>
          <w:lang w:eastAsia="en-US"/>
        </w:rPr>
        <w:object w:dxaOrig="15015" w:dyaOrig="3620" w14:anchorId="3994C119">
          <v:shape id="_x0000_i1031" type="#_x0000_t75" style="width:455.65pt;height:108.55pt" o:ole="">
            <v:imagedata r:id="rId28" o:title=""/>
          </v:shape>
          <o:OLEObject Type="Embed" ProgID="Visio.Drawing.11" ShapeID="_x0000_i1031" DrawAspect="Content" ObjectID="_1599658470" r:id="rId29"/>
        </w:object>
      </w:r>
    </w:p>
    <w:p w14:paraId="5706595B" w14:textId="2FFC9819" w:rsidR="00770545" w:rsidRDefault="00770545" w:rsidP="00601374">
      <w:pPr>
        <w:pStyle w:val="Caption"/>
        <w:kinsoku w:val="0"/>
        <w:spacing w:after="0"/>
        <w:jc w:val="center"/>
      </w:pPr>
      <w:r>
        <w:t xml:space="preserve">Figure </w:t>
      </w:r>
      <w:r>
        <w:fldChar w:fldCharType="begin"/>
      </w:r>
      <w:r>
        <w:instrText xml:space="preserve"> SEQ Figure \* ARABIC </w:instrText>
      </w:r>
      <w:r>
        <w:fldChar w:fldCharType="separate"/>
      </w:r>
      <w:r w:rsidR="00601374">
        <w:rPr>
          <w:noProof/>
        </w:rPr>
        <w:t>10</w:t>
      </w:r>
      <w:r>
        <w:fldChar w:fldCharType="end"/>
      </w:r>
      <w:r>
        <w:t>. Multiple transmission bursts within COT</w:t>
      </w:r>
    </w:p>
    <w:p w14:paraId="062A2788" w14:textId="697C295D" w:rsidR="0002323B" w:rsidRDefault="0002323B" w:rsidP="00601374">
      <w:pPr>
        <w:pStyle w:val="body"/>
        <w:kinsoku w:val="0"/>
        <w:overflowPunct w:val="0"/>
        <w:spacing w:after="0"/>
        <w:rPr>
          <w:lang w:eastAsia="en-US"/>
        </w:rPr>
      </w:pPr>
      <w:r>
        <w:rPr>
          <w:lang w:eastAsia="en-US"/>
        </w:rPr>
        <w:t xml:space="preserve">Within a COT, when a gap between transmissions is longer than </w:t>
      </w:r>
      <w:r w:rsidR="00386255">
        <w:rPr>
          <w:lang w:eastAsia="en-US"/>
        </w:rPr>
        <w:t>16us, the regulation requires a</w:t>
      </w:r>
      <w:r>
        <w:rPr>
          <w:lang w:eastAsia="en-US"/>
        </w:rPr>
        <w:t xml:space="preserve"> one shot LBT for the transmission.</w:t>
      </w:r>
      <w:r w:rsidR="00386255">
        <w:rPr>
          <w:lang w:eastAsia="en-US"/>
        </w:rPr>
        <w:t xml:space="preserve"> If there is only one gNB, there is no problem as the LBT will pass when there </w:t>
      </w:r>
      <w:r w:rsidR="006E34AE">
        <w:rPr>
          <w:lang w:eastAsia="en-US"/>
        </w:rPr>
        <w:t>are</w:t>
      </w:r>
      <w:r w:rsidR="00386255">
        <w:rPr>
          <w:lang w:eastAsia="en-US"/>
        </w:rPr>
        <w:t xml:space="preserve"> no unexpected interferers. However, for a multiple gNB system, a transmission may be blocked due to one shot LBT failure from interference from neighbour cell. To maintain reuse 1 operation, it is preferred to synchronize the LBT gaps across gNBs in the same operator as well.</w:t>
      </w:r>
    </w:p>
    <w:p w14:paraId="1FF2E112" w14:textId="7578A041" w:rsidR="00386255" w:rsidRDefault="007B0C5F" w:rsidP="00601374">
      <w:pPr>
        <w:pStyle w:val="body"/>
        <w:kinsoku w:val="0"/>
        <w:overflowPunct w:val="0"/>
        <w:spacing w:after="0"/>
        <w:rPr>
          <w:b/>
          <w:lang w:eastAsia="en-US"/>
        </w:rPr>
      </w:pPr>
      <w:bookmarkStart w:id="23" w:name="p10"/>
      <w:r>
        <w:rPr>
          <w:b/>
          <w:lang w:eastAsia="en-US"/>
        </w:rPr>
        <w:t>Proposal</w:t>
      </w:r>
      <w:r w:rsidRPr="00977EAA">
        <w:rPr>
          <w:b/>
          <w:lang w:eastAsia="en-US"/>
        </w:rPr>
        <w:t xml:space="preserve"> </w:t>
      </w:r>
      <w:r w:rsidRPr="00977EAA">
        <w:rPr>
          <w:b/>
          <w:lang w:eastAsia="en-US"/>
        </w:rPr>
        <w:fldChar w:fldCharType="begin"/>
      </w:r>
      <w:r w:rsidRPr="00977EAA">
        <w:rPr>
          <w:b/>
          <w:lang w:eastAsia="en-US"/>
        </w:rPr>
        <w:instrText xml:space="preserve"> seq prop </w:instrText>
      </w:r>
      <w:r w:rsidRPr="00977EAA">
        <w:rPr>
          <w:b/>
          <w:lang w:eastAsia="en-US"/>
        </w:rPr>
        <w:fldChar w:fldCharType="separate"/>
      </w:r>
      <w:r w:rsidR="00601374">
        <w:rPr>
          <w:b/>
          <w:noProof/>
          <w:lang w:eastAsia="en-US"/>
        </w:rPr>
        <w:t>10</w:t>
      </w:r>
      <w:r w:rsidRPr="00977EAA">
        <w:rPr>
          <w:b/>
          <w:lang w:eastAsia="en-US"/>
        </w:rPr>
        <w:fldChar w:fldCharType="end"/>
      </w:r>
      <w:r w:rsidRPr="00977EAA">
        <w:rPr>
          <w:b/>
          <w:lang w:eastAsia="en-US"/>
        </w:rPr>
        <w:t>.</w:t>
      </w:r>
      <w:r w:rsidR="00386255" w:rsidRPr="00977EAA">
        <w:rPr>
          <w:b/>
          <w:lang w:eastAsia="en-US"/>
        </w:rPr>
        <w:t xml:space="preserve"> </w:t>
      </w:r>
      <w:r w:rsidR="00386255">
        <w:rPr>
          <w:b/>
          <w:lang w:eastAsia="en-US"/>
        </w:rPr>
        <w:t>To achieve reuse 1 operation for single operator FBE system, synchronization across gNBs is needed, with synchronized fixed frame period starting time, and synchronized LBT gap within a COT.</w:t>
      </w:r>
    </w:p>
    <w:bookmarkEnd w:id="23"/>
    <w:p w14:paraId="052E57BC" w14:textId="089B0B4D" w:rsidR="00386255" w:rsidRPr="00AC011C" w:rsidRDefault="00534F77" w:rsidP="00601374">
      <w:pPr>
        <w:pStyle w:val="body"/>
        <w:kinsoku w:val="0"/>
        <w:overflowPunct w:val="0"/>
        <w:spacing w:after="0"/>
        <w:rPr>
          <w:lang w:eastAsia="en-US"/>
        </w:rPr>
      </w:pPr>
      <w:r>
        <w:rPr>
          <w:lang w:eastAsia="en-US"/>
        </w:rPr>
        <w:t xml:space="preserve">[Add </w:t>
      </w:r>
      <w:r w:rsidR="00FC7B12">
        <w:rPr>
          <w:lang w:eastAsia="en-US"/>
        </w:rPr>
        <w:t>a list of things we expect to change to achieve this, such as detection of gNB occupys the COT for UL transmission, point out its similarity to TxOP start detection already discussed].</w:t>
      </w:r>
    </w:p>
    <w:p w14:paraId="5DFEE3A9" w14:textId="6C08F132" w:rsidR="00A9188B" w:rsidRDefault="00FF1ED8" w:rsidP="00601374">
      <w:pPr>
        <w:pStyle w:val="body"/>
        <w:keepNext/>
        <w:kinsoku w:val="0"/>
        <w:overflowPunct w:val="0"/>
        <w:spacing w:after="0"/>
        <w:rPr>
          <w:lang w:eastAsia="en-US"/>
        </w:rPr>
      </w:pPr>
      <w:r w:rsidRPr="00BD2764">
        <w:rPr>
          <w:lang w:eastAsia="en-US"/>
        </w:rPr>
        <w:object w:dxaOrig="15424" w:dyaOrig="4274" w14:anchorId="759CCEAA">
          <v:shape id="_x0000_i1032" type="#_x0000_t75" style="width:468pt;height:132.2pt" o:ole="">
            <v:imagedata r:id="rId30" o:title=""/>
          </v:shape>
          <o:OLEObject Type="Embed" ProgID="Visio.Drawing.11" ShapeID="_x0000_i1032" DrawAspect="Content" ObjectID="_1599658471" r:id="rId31"/>
        </w:object>
      </w:r>
    </w:p>
    <w:p w14:paraId="7926DAE0" w14:textId="03393D9A" w:rsidR="00275D3B" w:rsidRDefault="00275D3B" w:rsidP="00601374">
      <w:pPr>
        <w:pStyle w:val="Caption"/>
        <w:kinsoku w:val="0"/>
        <w:spacing w:after="0"/>
        <w:jc w:val="center"/>
        <w:rPr>
          <w:noProof/>
        </w:rPr>
      </w:pPr>
      <w:r>
        <w:t xml:space="preserve">Figure </w:t>
      </w:r>
      <w:r>
        <w:fldChar w:fldCharType="begin"/>
      </w:r>
      <w:r>
        <w:instrText xml:space="preserve"> SEQ Figure \* ARABIC </w:instrText>
      </w:r>
      <w:r>
        <w:fldChar w:fldCharType="separate"/>
      </w:r>
      <w:r w:rsidR="00601374">
        <w:rPr>
          <w:noProof/>
        </w:rPr>
        <w:t>11</w:t>
      </w:r>
      <w:r>
        <w:fldChar w:fldCharType="end"/>
      </w:r>
      <w:r>
        <w:t>. Contention Slots for</w:t>
      </w:r>
      <w:r>
        <w:rPr>
          <w:noProof/>
        </w:rPr>
        <w:t xml:space="preserve"> FBE</w:t>
      </w:r>
    </w:p>
    <w:p w14:paraId="32120A6E" w14:textId="655D3D3F" w:rsidR="00275D3B" w:rsidRDefault="003C3D9F" w:rsidP="00601374">
      <w:pPr>
        <w:pStyle w:val="body"/>
        <w:kinsoku w:val="0"/>
        <w:overflowPunct w:val="0"/>
        <w:spacing w:after="0"/>
        <w:rPr>
          <w:lang w:eastAsia="en-US"/>
        </w:rPr>
      </w:pPr>
      <w:r>
        <w:rPr>
          <w:lang w:eastAsia="en-US"/>
        </w:rPr>
        <w:t xml:space="preserve">Though most industrial IoT use cases are single operator, there can be use cases where </w:t>
      </w:r>
      <w:r w:rsidR="00F355B7">
        <w:rPr>
          <w:lang w:eastAsia="en-US"/>
        </w:rPr>
        <w:t>multiple operators are</w:t>
      </w:r>
      <w:r>
        <w:rPr>
          <w:lang w:eastAsia="en-US"/>
        </w:rPr>
        <w:t xml:space="preserve"> deployed. </w:t>
      </w:r>
      <w:r w:rsidR="00F27987">
        <w:rPr>
          <w:lang w:eastAsia="en-US"/>
        </w:rPr>
        <w:t xml:space="preserve">To support FBE with multiple operators, </w:t>
      </w:r>
      <w:r w:rsidR="00533D02">
        <w:rPr>
          <w:lang w:eastAsia="en-US"/>
        </w:rPr>
        <w:t xml:space="preserve">fixed frame period level synchronization is needed across operators and </w:t>
      </w:r>
      <w:r w:rsidR="00F27987">
        <w:rPr>
          <w:lang w:eastAsia="en-US"/>
        </w:rPr>
        <w:t xml:space="preserve">contention slots can be introduced </w:t>
      </w:r>
      <w:r w:rsidR="0065145B">
        <w:rPr>
          <w:lang w:eastAsia="en-US"/>
        </w:rPr>
        <w:t>before COT. Each operator/gNB will conten</w:t>
      </w:r>
      <w:r w:rsidR="00DB6B8B">
        <w:rPr>
          <w:lang w:eastAsia="en-US"/>
        </w:rPr>
        <w:t>d</w:t>
      </w:r>
      <w:r w:rsidR="0065145B">
        <w:rPr>
          <w:lang w:eastAsia="en-US"/>
        </w:rPr>
        <w:t xml:space="preserve">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w:t>
      </w:r>
      <w:r w:rsidR="0069225F">
        <w:rPr>
          <w:lang w:eastAsia="en-US"/>
        </w:rPr>
        <w:t>/or</w:t>
      </w:r>
      <w:r w:rsidR="0065145B">
        <w:rPr>
          <w:lang w:eastAsia="en-US"/>
        </w:rPr>
        <w:t xml:space="preserve"> coordinated </w:t>
      </w:r>
      <w:r w:rsidR="0069225F">
        <w:rPr>
          <w:lang w:eastAsia="en-US"/>
        </w:rPr>
        <w:t>a</w:t>
      </w:r>
      <w:r w:rsidR="0065145B">
        <w:rPr>
          <w:lang w:eastAsia="en-US"/>
        </w:rPr>
        <w:t xml:space="preserve">cross operators. </w:t>
      </w:r>
    </w:p>
    <w:p w14:paraId="3A6B74AF" w14:textId="12D9D9D6" w:rsidR="00533D02" w:rsidRDefault="00533D02" w:rsidP="00601374">
      <w:pPr>
        <w:pStyle w:val="body"/>
        <w:kinsoku w:val="0"/>
        <w:overflowPunct w:val="0"/>
        <w:spacing w:after="0"/>
        <w:rPr>
          <w:b/>
          <w:lang w:eastAsia="en-US"/>
        </w:rPr>
      </w:pPr>
      <w:bookmarkStart w:id="24" w:name="p11"/>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601374">
        <w:rPr>
          <w:b/>
          <w:noProof/>
          <w:lang w:eastAsia="en-US"/>
        </w:rPr>
        <w:t>11</w:t>
      </w:r>
      <w:r w:rsidRPr="0065145B">
        <w:rPr>
          <w:b/>
          <w:lang w:eastAsia="en-US"/>
        </w:rPr>
        <w:fldChar w:fldCharType="end"/>
      </w:r>
      <w:r>
        <w:rPr>
          <w:b/>
          <w:lang w:eastAsia="en-US"/>
        </w:rPr>
        <w:t>:</w:t>
      </w:r>
      <w:r w:rsidRPr="0065145B">
        <w:rPr>
          <w:b/>
          <w:lang w:eastAsia="en-US"/>
        </w:rPr>
        <w:t xml:space="preserve"> </w:t>
      </w:r>
      <w:r>
        <w:rPr>
          <w:b/>
          <w:lang w:eastAsia="en-US"/>
        </w:rPr>
        <w:t>To support mult</w:t>
      </w:r>
      <w:r w:rsidR="00670123">
        <w:rPr>
          <w:b/>
          <w:lang w:eastAsia="en-US"/>
        </w:rPr>
        <w:t>iple operator FBE system, synchr</w:t>
      </w:r>
      <w:r>
        <w:rPr>
          <w:b/>
          <w:lang w:eastAsia="en-US"/>
        </w:rPr>
        <w:t xml:space="preserve">onization across gNBs of </w:t>
      </w:r>
      <w:r w:rsidR="00770545">
        <w:rPr>
          <w:b/>
          <w:lang w:eastAsia="en-US"/>
        </w:rPr>
        <w:t>different operators is needed.</w:t>
      </w:r>
    </w:p>
    <w:p w14:paraId="031BE11B" w14:textId="28D72804" w:rsidR="0065145B" w:rsidRDefault="0065145B" w:rsidP="00601374">
      <w:pPr>
        <w:pStyle w:val="body"/>
        <w:kinsoku w:val="0"/>
        <w:overflowPunct w:val="0"/>
        <w:spacing w:after="0"/>
        <w:rPr>
          <w:b/>
          <w:lang w:eastAsia="en-US"/>
        </w:rPr>
      </w:pPr>
      <w:bookmarkStart w:id="25" w:name="p12"/>
      <w:bookmarkEnd w:id="24"/>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601374">
        <w:rPr>
          <w:b/>
          <w:noProof/>
          <w:lang w:eastAsia="en-US"/>
        </w:rPr>
        <w:t>12</w:t>
      </w:r>
      <w:r w:rsidRPr="0065145B">
        <w:rPr>
          <w:b/>
          <w:lang w:eastAsia="en-US"/>
        </w:rPr>
        <w:fldChar w:fldCharType="end"/>
      </w:r>
      <w:r w:rsidR="008C476C">
        <w:rPr>
          <w:b/>
          <w:lang w:eastAsia="en-US"/>
        </w:rPr>
        <w:t>:</w:t>
      </w:r>
      <w:r w:rsidRPr="0065145B">
        <w:rPr>
          <w:b/>
          <w:lang w:eastAsia="en-US"/>
        </w:rPr>
        <w:t xml:space="preserve"> </w:t>
      </w:r>
      <w:r>
        <w:rPr>
          <w:b/>
          <w:lang w:eastAsia="en-US"/>
        </w:rPr>
        <w:t xml:space="preserve">Contention slots </w:t>
      </w:r>
      <w:r w:rsidR="00DB6B8B">
        <w:rPr>
          <w:b/>
          <w:lang w:eastAsia="en-US"/>
        </w:rPr>
        <w:t xml:space="preserve">are </w:t>
      </w:r>
      <w:r>
        <w:rPr>
          <w:b/>
          <w:lang w:eastAsia="en-US"/>
        </w:rPr>
        <w:t>introduced for FBE channel access mechanism with cross operator contention coordination specified.</w:t>
      </w:r>
    </w:p>
    <w:bookmarkEnd w:id="25"/>
    <w:p w14:paraId="238F7184" w14:textId="3EA6154C" w:rsidR="003B0DA8" w:rsidRPr="003B0DA8" w:rsidRDefault="003B0DA8" w:rsidP="00601374">
      <w:pPr>
        <w:pStyle w:val="Heading1"/>
        <w:kinsoku w:val="0"/>
        <w:spacing w:after="0"/>
      </w:pPr>
      <w:r w:rsidRPr="003B0DA8">
        <w:t>Wideband operation</w:t>
      </w:r>
    </w:p>
    <w:p w14:paraId="048BE891" w14:textId="5D4CA1D6" w:rsidR="003B0DA8" w:rsidRDefault="003B0DA8" w:rsidP="00601374">
      <w:pPr>
        <w:kinsoku w:val="0"/>
        <w:wordWrap/>
        <w:overflowPunct w:val="0"/>
        <w:rPr>
          <w:lang w:val="en-GB" w:eastAsia="en-US"/>
        </w:rPr>
      </w:pPr>
    </w:p>
    <w:p w14:paraId="0CD36742" w14:textId="77777777" w:rsidR="00DA1350" w:rsidRPr="002236FA" w:rsidRDefault="00DA1350" w:rsidP="00601374">
      <w:pPr>
        <w:kinsoku w:val="0"/>
        <w:wordWrap/>
        <w:overflowPunct w:val="0"/>
        <w:rPr>
          <w:rFonts w:ascii="Times New Roman"/>
          <w:szCs w:val="20"/>
        </w:rPr>
      </w:pPr>
      <w:r w:rsidRPr="002236FA">
        <w:rPr>
          <w:rFonts w:ascii="Times New Roman"/>
          <w:szCs w:val="20"/>
        </w:rPr>
        <w:t xml:space="preserve">In NR-U, the LBT may be performed in each subband with channel bandwidth of 20Mhz to have better coexistence with other nodes which may operation only at 20Mhz. Based on the LBT outcome, gNB may transmit on one channel or multiple channels. While CA is an effective approach to deal with mulit-channel transmission with multi-channel LBT, the wideband transmission with multi-channel LBT has been shown to reduce the system overhead and yield better system performance [2]. </w:t>
      </w:r>
    </w:p>
    <w:p w14:paraId="252D126A" w14:textId="77777777" w:rsidR="00DA1350" w:rsidRPr="002236FA" w:rsidRDefault="00DA1350" w:rsidP="00601374">
      <w:pPr>
        <w:kinsoku w:val="0"/>
        <w:wordWrap/>
        <w:overflowPunct w:val="0"/>
        <w:rPr>
          <w:rFonts w:ascii="Times New Roman"/>
          <w:szCs w:val="20"/>
        </w:rPr>
      </w:pPr>
      <w:r w:rsidRPr="002236FA">
        <w:rPr>
          <w:rFonts w:ascii="Times New Roman"/>
          <w:szCs w:val="20"/>
        </w:rPr>
        <w:t>BWP concept has been introduced in NR wideband operation where UE can be configured with multiple BWPs:</w:t>
      </w:r>
    </w:p>
    <w:p w14:paraId="4D283244" w14:textId="77777777" w:rsidR="00DA1350" w:rsidRPr="002236FA" w:rsidRDefault="00DA1350" w:rsidP="00601374">
      <w:pPr>
        <w:numPr>
          <w:ilvl w:val="0"/>
          <w:numId w:val="35"/>
        </w:numPr>
        <w:kinsoku w:val="0"/>
        <w:wordWrap/>
        <w:overflowPunct w:val="0"/>
        <w:adjustRightInd w:val="0"/>
        <w:spacing w:after="60"/>
        <w:textAlignment w:val="baseline"/>
        <w:rPr>
          <w:rFonts w:ascii="Times New Roman"/>
          <w:szCs w:val="20"/>
        </w:rPr>
      </w:pPr>
      <w:r w:rsidRPr="002236FA">
        <w:rPr>
          <w:rFonts w:ascii="Times New Roman"/>
          <w:szCs w:val="20"/>
        </w:rPr>
        <w:t xml:space="preserve">In Rel-15, for a UE, there is </w:t>
      </w:r>
      <w:r w:rsidRPr="002236FA">
        <w:rPr>
          <w:rFonts w:ascii="Times New Roman"/>
          <w:bCs/>
          <w:szCs w:val="20"/>
        </w:rPr>
        <w:t>at most one active</w:t>
      </w:r>
      <w:r w:rsidRPr="002236FA">
        <w:rPr>
          <w:rFonts w:ascii="Times New Roman"/>
          <w:szCs w:val="20"/>
        </w:rPr>
        <w:t xml:space="preserve"> </w:t>
      </w:r>
      <w:r w:rsidRPr="002236FA">
        <w:rPr>
          <w:rFonts w:ascii="Times New Roman"/>
          <w:bCs/>
          <w:szCs w:val="20"/>
        </w:rPr>
        <w:t xml:space="preserve">DL BWP </w:t>
      </w:r>
      <w:r w:rsidRPr="002236FA">
        <w:rPr>
          <w:rFonts w:ascii="Times New Roman"/>
          <w:szCs w:val="20"/>
        </w:rPr>
        <w:t xml:space="preserve">and </w:t>
      </w:r>
      <w:r w:rsidRPr="002236FA">
        <w:rPr>
          <w:rFonts w:ascii="Times New Roman"/>
          <w:bCs/>
          <w:szCs w:val="20"/>
        </w:rPr>
        <w:t>at most one active</w:t>
      </w:r>
      <w:r w:rsidRPr="002236FA">
        <w:rPr>
          <w:rFonts w:ascii="Times New Roman"/>
          <w:szCs w:val="20"/>
        </w:rPr>
        <w:t xml:space="preserve"> </w:t>
      </w:r>
      <w:r w:rsidRPr="002236FA">
        <w:rPr>
          <w:rFonts w:ascii="Times New Roman"/>
          <w:bCs/>
          <w:szCs w:val="20"/>
        </w:rPr>
        <w:t>UL BWP</w:t>
      </w:r>
      <w:r w:rsidRPr="002236FA">
        <w:rPr>
          <w:rFonts w:ascii="Times New Roman"/>
          <w:b/>
          <w:bCs/>
          <w:szCs w:val="20"/>
        </w:rPr>
        <w:t xml:space="preserve"> </w:t>
      </w:r>
      <w:r w:rsidRPr="002236FA">
        <w:rPr>
          <w:rFonts w:ascii="Times New Roman"/>
          <w:szCs w:val="20"/>
        </w:rPr>
        <w:t>at a given time for a serving cell</w:t>
      </w:r>
    </w:p>
    <w:p w14:paraId="1A1D38AA" w14:textId="77777777" w:rsidR="00DA1350" w:rsidRPr="002236FA" w:rsidRDefault="00DA1350" w:rsidP="00601374">
      <w:pPr>
        <w:numPr>
          <w:ilvl w:val="0"/>
          <w:numId w:val="35"/>
        </w:numPr>
        <w:tabs>
          <w:tab w:val="clear" w:pos="720"/>
        </w:tabs>
        <w:kinsoku w:val="0"/>
        <w:wordWrap/>
        <w:overflowPunct w:val="0"/>
        <w:adjustRightInd w:val="0"/>
        <w:spacing w:after="60"/>
        <w:textAlignment w:val="baseline"/>
        <w:rPr>
          <w:rFonts w:ascii="Times New Roman"/>
          <w:szCs w:val="20"/>
        </w:rPr>
      </w:pPr>
      <w:r w:rsidRPr="002236FA">
        <w:rPr>
          <w:rFonts w:ascii="Times New Roman"/>
          <w:szCs w:val="20"/>
        </w:rPr>
        <w:t>A BWP consists of a group of contiguous PRBs</w:t>
      </w:r>
    </w:p>
    <w:p w14:paraId="6E13A30D" w14:textId="77777777" w:rsidR="00DA1350" w:rsidRPr="002236FA" w:rsidRDefault="00DA1350" w:rsidP="00601374">
      <w:pPr>
        <w:kinsoku w:val="0"/>
        <w:wordWrap/>
        <w:overflowPunct w:val="0"/>
        <w:rPr>
          <w:rFonts w:ascii="Times New Roman"/>
          <w:szCs w:val="20"/>
        </w:rPr>
      </w:pPr>
      <w:r w:rsidRPr="002236FA">
        <w:rPr>
          <w:rFonts w:ascii="Times New Roman"/>
          <w:szCs w:val="20"/>
        </w:rPr>
        <w:t xml:space="preserve">The NR BWP concept is motivated by at least three main scenarios:  Reduced UE BW capability, Load balancing </w:t>
      </w:r>
      <w:r w:rsidRPr="002236FA">
        <w:rPr>
          <w:rFonts w:ascii="Times New Roman"/>
          <w:szCs w:val="20"/>
        </w:rPr>
        <w:lastRenderedPageBreak/>
        <w:t>within CC and UE power saving.</w:t>
      </w:r>
    </w:p>
    <w:p w14:paraId="02632D00" w14:textId="77777777" w:rsidR="00DA1350" w:rsidRPr="002236FA" w:rsidRDefault="00DA1350" w:rsidP="00601374">
      <w:pPr>
        <w:kinsoku w:val="0"/>
        <w:wordWrap/>
        <w:overflowPunct w:val="0"/>
        <w:rPr>
          <w:rFonts w:ascii="Times New Roman"/>
          <w:szCs w:val="20"/>
        </w:rPr>
      </w:pPr>
      <w:r w:rsidRPr="002236FA">
        <w:rPr>
          <w:rFonts w:ascii="Times New Roman"/>
          <w:szCs w:val="20"/>
        </w:rPr>
        <w:t>A few options have been proposed to extend BWP to the multi-channel transmission in NR-U:</w:t>
      </w:r>
    </w:p>
    <w:p w14:paraId="31C21578" w14:textId="77777777" w:rsidR="00DA1350" w:rsidRPr="002236FA" w:rsidRDefault="00DA1350" w:rsidP="00601374">
      <w:pPr>
        <w:pStyle w:val="ListParagraph"/>
        <w:numPr>
          <w:ilvl w:val="0"/>
          <w:numId w:val="34"/>
        </w:numPr>
        <w:kinsoku w:val="0"/>
        <w:overflowPunct w:val="0"/>
        <w:adjustRightInd w:val="0"/>
        <w:spacing w:after="60"/>
        <w:ind w:leftChars="0" w:left="1160"/>
        <w:textAlignment w:val="baseline"/>
        <w:rPr>
          <w:rFonts w:ascii="Times New Roman" w:hAnsi="Times New Roman" w:cs="Times New Roman"/>
          <w:sz w:val="20"/>
          <w:szCs w:val="20"/>
        </w:rPr>
      </w:pPr>
      <w:r w:rsidRPr="002236FA">
        <w:rPr>
          <w:rFonts w:ascii="Times New Roman" w:hAnsi="Times New Roman" w:cs="Times New Roman"/>
          <w:sz w:val="20"/>
          <w:szCs w:val="20"/>
        </w:rPr>
        <w:t xml:space="preserve">Option 1: each subband is a BWP and it is proposed to have multiple active BWPs simultaneously </w:t>
      </w:r>
    </w:p>
    <w:p w14:paraId="7DBE6679" w14:textId="77777777" w:rsidR="00DA1350" w:rsidRPr="002236FA" w:rsidRDefault="00DA1350" w:rsidP="00601374">
      <w:pPr>
        <w:pStyle w:val="ListParagraph"/>
        <w:numPr>
          <w:ilvl w:val="0"/>
          <w:numId w:val="34"/>
        </w:numPr>
        <w:kinsoku w:val="0"/>
        <w:overflowPunct w:val="0"/>
        <w:adjustRightInd w:val="0"/>
        <w:spacing w:after="60"/>
        <w:ind w:leftChars="0" w:left="1160"/>
        <w:textAlignment w:val="baseline"/>
        <w:rPr>
          <w:rFonts w:ascii="Times New Roman" w:hAnsi="Times New Roman" w:cs="Times New Roman"/>
          <w:sz w:val="20"/>
          <w:szCs w:val="20"/>
        </w:rPr>
      </w:pPr>
      <w:r w:rsidRPr="002236FA">
        <w:rPr>
          <w:rFonts w:ascii="Times New Roman" w:hAnsi="Times New Roman" w:cs="Times New Roman"/>
          <w:sz w:val="20"/>
          <w:szCs w:val="20"/>
        </w:rPr>
        <w:t>Option 2: A BWP may consist of multiple non-contiguous active subbands</w:t>
      </w:r>
    </w:p>
    <w:p w14:paraId="0C6E248D" w14:textId="77777777" w:rsidR="00DA1350" w:rsidRPr="002236FA" w:rsidRDefault="00DA1350" w:rsidP="00601374">
      <w:pPr>
        <w:pStyle w:val="ListParagraph"/>
        <w:numPr>
          <w:ilvl w:val="0"/>
          <w:numId w:val="34"/>
        </w:numPr>
        <w:kinsoku w:val="0"/>
        <w:overflowPunct w:val="0"/>
        <w:adjustRightInd w:val="0"/>
        <w:spacing w:after="60"/>
        <w:ind w:leftChars="0" w:left="1160"/>
        <w:textAlignment w:val="baseline"/>
        <w:rPr>
          <w:rFonts w:ascii="Times New Roman" w:hAnsi="Times New Roman" w:cs="Times New Roman"/>
          <w:sz w:val="20"/>
          <w:szCs w:val="20"/>
        </w:rPr>
      </w:pPr>
      <w:r w:rsidRPr="002236FA">
        <w:rPr>
          <w:rFonts w:ascii="Times New Roman" w:hAnsi="Times New Roman" w:cs="Times New Roman"/>
          <w:sz w:val="20"/>
          <w:szCs w:val="20"/>
        </w:rPr>
        <w:t>Option 3: A wideband BWP consists of multiple subbands where gNB may be able to transmit on a subset of the subbands</w:t>
      </w:r>
    </w:p>
    <w:p w14:paraId="79C060A6" w14:textId="56AB8B4D" w:rsidR="00601374" w:rsidRDefault="00DA1350" w:rsidP="00601374">
      <w:pPr>
        <w:kinsoku w:val="0"/>
        <w:wordWrap/>
        <w:overflowPunct w:val="0"/>
        <w:rPr>
          <w:rFonts w:ascii="Times New Roman"/>
          <w:szCs w:val="20"/>
        </w:rPr>
      </w:pPr>
      <w:r w:rsidRPr="002236FA">
        <w:rPr>
          <w:rFonts w:ascii="Times New Roman"/>
          <w:szCs w:val="20"/>
        </w:rPr>
        <w:t>According to RAN4, the BWP switching delay can be in a range of [400us, 600us, 950us, 2000us] depending on the switching scenario (whether there is center frequency change and/or numerology change) and UE capability (type 1 or type 2).  As we can see, even the fast BWP switching involves 400us delay. On the other hand, a wideband UE may need to monitor the entire wideband anyway to detect whether on which channel(s) gNB is active. Therefore, we have slightly preference on Option 3 without incurring BWP switching overhead. Note Option 3 does not preclude efficient DL signalling within the active subbands.</w:t>
      </w:r>
    </w:p>
    <w:p w14:paraId="0E0BFDDD" w14:textId="77777777" w:rsidR="00601374" w:rsidRDefault="00601374" w:rsidP="00601374">
      <w:pPr>
        <w:kinsoku w:val="0"/>
        <w:wordWrap/>
        <w:overflowPunct w:val="0"/>
        <w:rPr>
          <w:rFonts w:ascii="Times New Roman"/>
          <w:szCs w:val="20"/>
        </w:rPr>
      </w:pPr>
    </w:p>
    <w:p w14:paraId="1DE81FE8" w14:textId="3F49DAD9" w:rsidR="00DA1350" w:rsidRPr="00601374" w:rsidRDefault="00DA1350" w:rsidP="00601374">
      <w:pPr>
        <w:kinsoku w:val="0"/>
        <w:wordWrap/>
        <w:overflowPunct w:val="0"/>
        <w:rPr>
          <w:rFonts w:ascii="Times New Roman"/>
          <w:b/>
          <w:snapToGrid w:val="0"/>
          <w:kern w:val="0"/>
          <w:szCs w:val="20"/>
          <w:lang w:val="en-GB" w:eastAsia="en-US"/>
        </w:rPr>
      </w:pPr>
      <w:bookmarkStart w:id="26" w:name="p13"/>
      <w:r w:rsidRPr="00601374">
        <w:rPr>
          <w:rFonts w:ascii="Times New Roman"/>
          <w:b/>
          <w:snapToGrid w:val="0"/>
          <w:kern w:val="0"/>
          <w:szCs w:val="20"/>
          <w:lang w:val="en-GB" w:eastAsia="en-US"/>
        </w:rPr>
        <w:t xml:space="preserve">Proposal </w:t>
      </w:r>
      <w:r w:rsidRPr="00601374">
        <w:rPr>
          <w:rFonts w:ascii="Times New Roman"/>
          <w:b/>
          <w:snapToGrid w:val="0"/>
          <w:kern w:val="0"/>
          <w:szCs w:val="20"/>
          <w:lang w:val="en-GB" w:eastAsia="en-US"/>
        </w:rPr>
        <w:fldChar w:fldCharType="begin"/>
      </w:r>
      <w:r w:rsidRPr="00601374">
        <w:rPr>
          <w:rFonts w:ascii="Times New Roman"/>
          <w:b/>
          <w:snapToGrid w:val="0"/>
          <w:kern w:val="0"/>
          <w:szCs w:val="20"/>
          <w:lang w:val="en-GB" w:eastAsia="en-US"/>
        </w:rPr>
        <w:instrText xml:space="preserve"> seq prop </w:instrText>
      </w:r>
      <w:r w:rsidRPr="00601374">
        <w:rPr>
          <w:rFonts w:ascii="Times New Roman"/>
          <w:b/>
          <w:snapToGrid w:val="0"/>
          <w:kern w:val="0"/>
          <w:szCs w:val="20"/>
          <w:lang w:val="en-GB" w:eastAsia="en-US"/>
        </w:rPr>
        <w:fldChar w:fldCharType="separate"/>
      </w:r>
      <w:r w:rsidR="00601374">
        <w:rPr>
          <w:rFonts w:ascii="Times New Roman"/>
          <w:b/>
          <w:noProof/>
          <w:snapToGrid w:val="0"/>
          <w:kern w:val="0"/>
          <w:szCs w:val="20"/>
          <w:lang w:val="en-GB" w:eastAsia="en-US"/>
        </w:rPr>
        <w:t>13</w:t>
      </w:r>
      <w:r w:rsidRPr="00601374">
        <w:rPr>
          <w:rFonts w:ascii="Times New Roman"/>
          <w:b/>
          <w:snapToGrid w:val="0"/>
          <w:kern w:val="0"/>
          <w:szCs w:val="20"/>
          <w:lang w:val="en-GB" w:eastAsia="en-US"/>
        </w:rPr>
        <w:fldChar w:fldCharType="end"/>
      </w:r>
      <w:r w:rsidRPr="00601374">
        <w:rPr>
          <w:rFonts w:ascii="Times New Roman"/>
          <w:b/>
          <w:snapToGrid w:val="0"/>
          <w:kern w:val="0"/>
          <w:szCs w:val="20"/>
          <w:lang w:val="en-GB" w:eastAsia="en-US"/>
        </w:rPr>
        <w:t xml:space="preserve">: </w:t>
      </w:r>
      <w:r w:rsidR="00601374" w:rsidRPr="00601374">
        <w:rPr>
          <w:rFonts w:ascii="Times New Roman"/>
          <w:b/>
          <w:lang w:eastAsia="en-US"/>
        </w:rPr>
        <w:t>NR-U supports configuration of wide BWP consists of multiple subbands where gNB may transmit on a subset of the subbands.</w:t>
      </w:r>
    </w:p>
    <w:bookmarkEnd w:id="26"/>
    <w:p w14:paraId="1F083CA7" w14:textId="2218916B" w:rsidR="0095302F" w:rsidRDefault="0095302F" w:rsidP="00601374">
      <w:pPr>
        <w:pStyle w:val="Heading1"/>
        <w:kinsoku w:val="0"/>
        <w:spacing w:after="0"/>
      </w:pPr>
      <w:r>
        <w:t>Summary</w:t>
      </w:r>
    </w:p>
    <w:p w14:paraId="791C5E77" w14:textId="1307B1E0" w:rsidR="0051580E" w:rsidRPr="00770545"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239E055F" w14:textId="1C7C7790" w:rsidR="00F944B0" w:rsidRDefault="00F944B0" w:rsidP="00601374">
      <w:pPr>
        <w:pStyle w:val="LGTdoc1"/>
        <w:kinsoku w:val="0"/>
        <w:overflowPunct w:val="0"/>
        <w:spacing w:beforeLines="0" w:before="120" w:after="0" w:afterAutospacing="0"/>
        <w:rPr>
          <w:sz w:val="22"/>
        </w:rPr>
      </w:pPr>
      <w:r>
        <w:rPr>
          <w:sz w:val="22"/>
        </w:rPr>
        <w:fldChar w:fldCharType="begin"/>
      </w:r>
      <w:r>
        <w:rPr>
          <w:sz w:val="22"/>
        </w:rPr>
        <w:instrText xml:space="preserve"> REF p1 \h </w:instrText>
      </w:r>
      <w:r>
        <w:rPr>
          <w:sz w:val="22"/>
        </w:rPr>
      </w:r>
      <w:r>
        <w:rPr>
          <w:sz w:val="22"/>
        </w:rPr>
        <w:fldChar w:fldCharType="separate"/>
      </w:r>
      <w:r w:rsidR="00601374" w:rsidRPr="006C212E">
        <w:rPr>
          <w:sz w:val="20"/>
        </w:rPr>
        <w:t xml:space="preserve">Proposal </w:t>
      </w:r>
      <w:r w:rsidR="00601374">
        <w:rPr>
          <w:noProof/>
          <w:sz w:val="20"/>
        </w:rPr>
        <w:t>1</w:t>
      </w:r>
      <w:r w:rsidR="00601374" w:rsidRPr="006C212E">
        <w:rPr>
          <w:sz w:val="20"/>
        </w:rPr>
        <w:t xml:space="preserve">: </w:t>
      </w:r>
      <w:r w:rsidR="00601374">
        <w:rPr>
          <w:sz w:val="20"/>
        </w:rPr>
        <w:t>NR-U supports SCS of 15, 30, and 60Khz in sub-7GHz</w:t>
      </w:r>
      <w:r>
        <w:rPr>
          <w:sz w:val="22"/>
        </w:rPr>
        <w:fldChar w:fldCharType="end"/>
      </w:r>
    </w:p>
    <w:p w14:paraId="77EC85EC" w14:textId="77777777" w:rsidR="00601374" w:rsidRPr="006C212E" w:rsidRDefault="00F944B0" w:rsidP="00601374">
      <w:pPr>
        <w:pStyle w:val="LGTdoc1"/>
        <w:kinsoku w:val="0"/>
        <w:overflowPunct w:val="0"/>
        <w:spacing w:beforeLines="0" w:before="120" w:after="0" w:afterAutospacing="0"/>
        <w:rPr>
          <w:sz w:val="20"/>
        </w:rPr>
      </w:pPr>
      <w:r>
        <w:rPr>
          <w:sz w:val="22"/>
        </w:rPr>
        <w:fldChar w:fldCharType="begin"/>
      </w:r>
      <w:r>
        <w:rPr>
          <w:sz w:val="22"/>
        </w:rPr>
        <w:instrText xml:space="preserve"> REF p2 \h </w:instrText>
      </w:r>
      <w:r>
        <w:rPr>
          <w:sz w:val="22"/>
        </w:rPr>
      </w:r>
      <w:r>
        <w:rPr>
          <w:sz w:val="22"/>
        </w:rPr>
        <w:fldChar w:fldCharType="separate"/>
      </w:r>
      <w:r w:rsidR="00601374" w:rsidRPr="006C212E">
        <w:rPr>
          <w:sz w:val="20"/>
        </w:rPr>
        <w:t xml:space="preserve">Proposal </w:t>
      </w:r>
      <w:r w:rsidR="00601374">
        <w:rPr>
          <w:noProof/>
          <w:sz w:val="20"/>
        </w:rPr>
        <w:t>2</w:t>
      </w:r>
      <w:r w:rsidR="00601374">
        <w:rPr>
          <w:sz w:val="20"/>
        </w:rPr>
        <w:t>:</w:t>
      </w:r>
      <w:r w:rsidR="00601374" w:rsidRPr="006C212E">
        <w:rPr>
          <w:sz w:val="20"/>
        </w:rPr>
        <w:t xml:space="preserve"> Study both LBE and FBE based channel access mechanisms for NR-U</w:t>
      </w:r>
    </w:p>
    <w:p w14:paraId="47A37934" w14:textId="77777777" w:rsidR="00601374"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p3 \h </w:instrText>
      </w:r>
      <w:r>
        <w:rPr>
          <w:sz w:val="22"/>
        </w:rPr>
      </w:r>
      <w:r>
        <w:rPr>
          <w:sz w:val="22"/>
        </w:rPr>
        <w:fldChar w:fldCharType="separate"/>
      </w:r>
      <w:r w:rsidR="00601374" w:rsidRPr="006C212E">
        <w:rPr>
          <w:sz w:val="20"/>
        </w:rPr>
        <w:t xml:space="preserve">Proposal </w:t>
      </w:r>
      <w:r w:rsidR="00601374">
        <w:rPr>
          <w:noProof/>
          <w:sz w:val="20"/>
        </w:rPr>
        <w:t>3</w:t>
      </w:r>
      <w:r w:rsidR="00601374">
        <w:rPr>
          <w:sz w:val="20"/>
        </w:rPr>
        <w:t>:</w:t>
      </w:r>
      <w:r w:rsidR="00601374" w:rsidRPr="006C212E">
        <w:rPr>
          <w:sz w:val="20"/>
        </w:rPr>
        <w:t xml:space="preserve"> </w:t>
      </w:r>
      <w:r w:rsidR="00601374">
        <w:rPr>
          <w:sz w:val="20"/>
        </w:rPr>
        <w:t>Consider synchronized sharing schemes for green field unlicensed/shared band</w:t>
      </w:r>
    </w:p>
    <w:p w14:paraId="6F444CEF" w14:textId="77777777" w:rsidR="00601374" w:rsidRPr="00FA2D11"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p4 \h </w:instrText>
      </w:r>
      <w:r>
        <w:rPr>
          <w:sz w:val="22"/>
        </w:rPr>
      </w:r>
      <w:r>
        <w:rPr>
          <w:sz w:val="22"/>
        </w:rPr>
        <w:fldChar w:fldCharType="separate"/>
      </w:r>
      <w:r w:rsidR="00601374" w:rsidRPr="007B0C5F">
        <w:rPr>
          <w:sz w:val="20"/>
        </w:rPr>
        <w:t xml:space="preserve">Observation </w:t>
      </w:r>
      <w:r w:rsidR="00601374">
        <w:rPr>
          <w:noProof/>
          <w:sz w:val="20"/>
        </w:rPr>
        <w:t>4</w:t>
      </w:r>
      <w:r w:rsidR="00601374">
        <w:rPr>
          <w:sz w:val="20"/>
        </w:rPr>
        <w:t>:</w:t>
      </w:r>
      <w:r w:rsidR="00601374" w:rsidRPr="00FA2D11">
        <w:rPr>
          <w:sz w:val="20"/>
        </w:rPr>
        <w:t xml:space="preserve"> Multiple switching points in a TxOP enables introduction of receiver based channel reservation schemes</w:t>
      </w:r>
    </w:p>
    <w:p w14:paraId="16D3D097" w14:textId="77777777" w:rsidR="00601374"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p5 \h </w:instrText>
      </w:r>
      <w:r>
        <w:rPr>
          <w:sz w:val="22"/>
        </w:rPr>
      </w:r>
      <w:r>
        <w:rPr>
          <w:sz w:val="22"/>
        </w:rPr>
        <w:fldChar w:fldCharType="separate"/>
      </w:r>
      <w:r w:rsidR="00601374" w:rsidRPr="007B0C5F">
        <w:rPr>
          <w:sz w:val="20"/>
        </w:rPr>
        <w:t xml:space="preserve">Observation </w:t>
      </w:r>
      <w:r w:rsidR="00601374">
        <w:rPr>
          <w:noProof/>
          <w:sz w:val="20"/>
        </w:rPr>
        <w:t>5</w:t>
      </w:r>
      <w:r w:rsidR="00601374">
        <w:rPr>
          <w:sz w:val="20"/>
        </w:rPr>
        <w:t>: Multiple switching points in a TxOP enables faster link adaptation and better user selection leading to significantly improved system efficiency</w:t>
      </w:r>
    </w:p>
    <w:p w14:paraId="36743FCD" w14:textId="77777777" w:rsidR="00601374" w:rsidRPr="002236FA"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p6 \h </w:instrText>
      </w:r>
      <w:r>
        <w:rPr>
          <w:sz w:val="22"/>
        </w:rPr>
      </w:r>
      <w:r>
        <w:rPr>
          <w:sz w:val="22"/>
        </w:rPr>
        <w:fldChar w:fldCharType="separate"/>
      </w:r>
      <w:r w:rsidR="00601374">
        <w:rPr>
          <w:sz w:val="20"/>
        </w:rPr>
        <w:t>Proposal</w:t>
      </w:r>
      <w:r w:rsidR="00601374" w:rsidRPr="007B0C5F">
        <w:rPr>
          <w:sz w:val="20"/>
        </w:rPr>
        <w:t xml:space="preserve"> </w:t>
      </w:r>
      <w:r w:rsidR="00601374">
        <w:rPr>
          <w:noProof/>
          <w:sz w:val="20"/>
        </w:rPr>
        <w:t>6</w:t>
      </w:r>
      <w:r w:rsidR="00601374">
        <w:rPr>
          <w:sz w:val="20"/>
        </w:rPr>
        <w:t xml:space="preserve">: </w:t>
      </w:r>
      <w:r w:rsidR="00601374" w:rsidRPr="002236FA">
        <w:rPr>
          <w:sz w:val="20"/>
        </w:rPr>
        <w:t>Switches between DL and UL for exchange of control information during data transmission should be supported. The switching should not require any LBT when the gap is within the regulatory requirements. This includes</w:t>
      </w:r>
    </w:p>
    <w:p w14:paraId="24C05E29" w14:textId="77777777" w:rsidR="00601374" w:rsidRPr="002236FA" w:rsidRDefault="00601374" w:rsidP="00601374">
      <w:pPr>
        <w:pStyle w:val="LGTdoc1"/>
        <w:numPr>
          <w:ilvl w:val="0"/>
          <w:numId w:val="37"/>
        </w:numPr>
        <w:kinsoku w:val="0"/>
        <w:overflowPunct w:val="0"/>
        <w:spacing w:beforeLines="0" w:before="120" w:after="0" w:afterAutospacing="0"/>
        <w:rPr>
          <w:sz w:val="20"/>
        </w:rPr>
      </w:pPr>
      <w:r w:rsidRPr="002236FA">
        <w:rPr>
          <w:sz w:val="20"/>
        </w:rPr>
        <w:t>UCI transmission such as for HARQ ACK between DL slots carrying PDCCH/PDSCH</w:t>
      </w:r>
    </w:p>
    <w:p w14:paraId="502FB076" w14:textId="433EE879" w:rsidR="00F944B0" w:rsidRDefault="00601374" w:rsidP="00601374">
      <w:pPr>
        <w:pStyle w:val="LGTdoc1"/>
        <w:numPr>
          <w:ilvl w:val="0"/>
          <w:numId w:val="37"/>
        </w:numPr>
        <w:kinsoku w:val="0"/>
        <w:overflowPunct w:val="0"/>
        <w:spacing w:beforeLines="0" w:before="120" w:after="0" w:afterAutospacing="0"/>
        <w:rPr>
          <w:sz w:val="22"/>
        </w:rPr>
      </w:pPr>
      <w:r w:rsidRPr="002236FA">
        <w:rPr>
          <w:sz w:val="20"/>
        </w:rPr>
        <w:t>DCI transmission such as for UL grants between UL slots carrying PUCCH/PUSCH</w:t>
      </w:r>
      <w:r w:rsidR="00F944B0">
        <w:rPr>
          <w:sz w:val="22"/>
        </w:rPr>
        <w:fldChar w:fldCharType="end"/>
      </w:r>
    </w:p>
    <w:p w14:paraId="1485F1FB" w14:textId="77777777" w:rsidR="00601374" w:rsidRDefault="00F944B0" w:rsidP="00601374">
      <w:pPr>
        <w:pStyle w:val="LGTdoc1"/>
        <w:kinsoku w:val="0"/>
        <w:overflowPunct w:val="0"/>
        <w:spacing w:beforeLines="0" w:before="120" w:after="0" w:afterAutospacing="0"/>
        <w:rPr>
          <w:sz w:val="20"/>
        </w:rPr>
      </w:pPr>
      <w:r>
        <w:rPr>
          <w:sz w:val="22"/>
        </w:rPr>
        <w:fldChar w:fldCharType="begin"/>
      </w:r>
      <w:r>
        <w:rPr>
          <w:sz w:val="22"/>
        </w:rPr>
        <w:instrText xml:space="preserve"> REF p7 \h </w:instrText>
      </w:r>
      <w:r>
        <w:rPr>
          <w:sz w:val="22"/>
        </w:rPr>
      </w:r>
      <w:r>
        <w:rPr>
          <w:sz w:val="22"/>
        </w:rPr>
        <w:fldChar w:fldCharType="separate"/>
      </w:r>
      <w:r w:rsidR="00601374" w:rsidRPr="006C212E">
        <w:rPr>
          <w:sz w:val="20"/>
        </w:rPr>
        <w:t xml:space="preserve">Proposal </w:t>
      </w:r>
      <w:r w:rsidR="00601374">
        <w:rPr>
          <w:noProof/>
          <w:sz w:val="20"/>
        </w:rPr>
        <w:t>7</w:t>
      </w:r>
      <w:r w:rsidR="00601374" w:rsidRPr="006C212E">
        <w:rPr>
          <w:sz w:val="20"/>
        </w:rPr>
        <w:t>: Consider techniques such as use of wake-up signal to reduce power consumption impact of allowing multiple start locations for a TxOP</w:t>
      </w:r>
    </w:p>
    <w:p w14:paraId="2D1B8C93" w14:textId="77777777" w:rsidR="00601374"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p8 \h </w:instrText>
      </w:r>
      <w:r>
        <w:rPr>
          <w:sz w:val="22"/>
        </w:rPr>
      </w:r>
      <w:r>
        <w:rPr>
          <w:sz w:val="22"/>
        </w:rPr>
        <w:fldChar w:fldCharType="separate"/>
      </w:r>
      <w:r w:rsidR="00601374" w:rsidRPr="006C212E">
        <w:rPr>
          <w:sz w:val="20"/>
        </w:rPr>
        <w:t xml:space="preserve">Proposal </w:t>
      </w:r>
      <w:r w:rsidR="00601374">
        <w:rPr>
          <w:noProof/>
          <w:sz w:val="20"/>
        </w:rPr>
        <w:t>8</w:t>
      </w:r>
      <w:r w:rsidR="00601374" w:rsidRPr="006C212E">
        <w:rPr>
          <w:sz w:val="20"/>
        </w:rPr>
        <w:t xml:space="preserve">: </w:t>
      </w:r>
      <w:r w:rsidR="00601374">
        <w:rPr>
          <w:sz w:val="20"/>
        </w:rPr>
        <w:t>For the first data transmission after an LBT opportunity, NR-U supports rate matching of PDSCH/PUSCH for a larger number of symbols than those used for data transmission in combination with symbol level puncturing</w:t>
      </w:r>
    </w:p>
    <w:p w14:paraId="1B57FE38" w14:textId="77777777" w:rsidR="00601374"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p9 \h </w:instrText>
      </w:r>
      <w:r>
        <w:rPr>
          <w:sz w:val="22"/>
        </w:rPr>
      </w:r>
      <w:r>
        <w:rPr>
          <w:sz w:val="22"/>
        </w:rPr>
        <w:fldChar w:fldCharType="separate"/>
      </w:r>
      <w:r w:rsidR="00601374">
        <w:rPr>
          <w:b/>
          <w:lang w:eastAsia="en-US"/>
        </w:rPr>
        <w:t>Observation</w:t>
      </w:r>
      <w:r w:rsidR="00601374" w:rsidRPr="00977EAA">
        <w:rPr>
          <w:b/>
          <w:lang w:eastAsia="en-US"/>
        </w:rPr>
        <w:t xml:space="preserve"> </w:t>
      </w:r>
      <w:r w:rsidR="00601374">
        <w:rPr>
          <w:b/>
          <w:noProof/>
          <w:lang w:eastAsia="en-US"/>
        </w:rPr>
        <w:t>9</w:t>
      </w:r>
      <w:r w:rsidR="00601374" w:rsidRPr="00977EAA">
        <w:rPr>
          <w:b/>
          <w:lang w:eastAsia="en-US"/>
        </w:rPr>
        <w:t xml:space="preserve">. </w:t>
      </w:r>
      <w:r w:rsidR="00601374">
        <w:rPr>
          <w:b/>
          <w:lang w:eastAsia="en-US"/>
        </w:rPr>
        <w:t>S</w:t>
      </w:r>
      <w:r w:rsidR="00601374" w:rsidRPr="00977EAA">
        <w:rPr>
          <w:b/>
          <w:lang w:eastAsia="en-US"/>
        </w:rPr>
        <w:t xml:space="preserve">ingle operator FBE </w:t>
      </w:r>
      <w:r w:rsidR="00601374">
        <w:rPr>
          <w:b/>
          <w:lang w:eastAsia="en-US"/>
        </w:rPr>
        <w:t>based system can be supported with Rel.15 NR design with one shot LBT mechanism developed for NR-U</w:t>
      </w:r>
    </w:p>
    <w:p w14:paraId="42E12F57" w14:textId="77777777" w:rsidR="00601374"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p10 \h </w:instrText>
      </w:r>
      <w:r>
        <w:rPr>
          <w:sz w:val="22"/>
        </w:rPr>
      </w:r>
      <w:r>
        <w:rPr>
          <w:sz w:val="22"/>
        </w:rPr>
        <w:fldChar w:fldCharType="separate"/>
      </w:r>
      <w:r w:rsidR="00601374">
        <w:rPr>
          <w:b/>
          <w:lang w:eastAsia="en-US"/>
        </w:rPr>
        <w:t>Proposal</w:t>
      </w:r>
      <w:r w:rsidR="00601374" w:rsidRPr="00977EAA">
        <w:rPr>
          <w:b/>
          <w:lang w:eastAsia="en-US"/>
        </w:rPr>
        <w:t xml:space="preserve"> </w:t>
      </w:r>
      <w:r w:rsidR="00601374">
        <w:rPr>
          <w:b/>
          <w:noProof/>
          <w:lang w:eastAsia="en-US"/>
        </w:rPr>
        <w:t>10</w:t>
      </w:r>
      <w:r w:rsidR="00601374" w:rsidRPr="00977EAA">
        <w:rPr>
          <w:b/>
          <w:lang w:eastAsia="en-US"/>
        </w:rPr>
        <w:t xml:space="preserve">. </w:t>
      </w:r>
      <w:r w:rsidR="00601374">
        <w:rPr>
          <w:b/>
          <w:lang w:eastAsia="en-US"/>
        </w:rPr>
        <w:t>To achieve reuse 1 operation for single operator FBE system, synchronization across gNBs is needed, with synchronized fixed frame period starting time, and synchronized LBT gap within a COT.</w:t>
      </w:r>
    </w:p>
    <w:p w14:paraId="4EC109F2" w14:textId="77777777" w:rsidR="00601374"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p11 \h </w:instrText>
      </w:r>
      <w:r>
        <w:rPr>
          <w:sz w:val="22"/>
        </w:rPr>
      </w:r>
      <w:r>
        <w:rPr>
          <w:sz w:val="22"/>
        </w:rPr>
        <w:fldChar w:fldCharType="separate"/>
      </w:r>
      <w:r w:rsidR="00601374" w:rsidRPr="0065145B">
        <w:rPr>
          <w:b/>
          <w:lang w:eastAsia="en-US"/>
        </w:rPr>
        <w:t xml:space="preserve">Proposal </w:t>
      </w:r>
      <w:r w:rsidR="00601374">
        <w:rPr>
          <w:b/>
          <w:noProof/>
          <w:lang w:eastAsia="en-US"/>
        </w:rPr>
        <w:t>11</w:t>
      </w:r>
      <w:r w:rsidR="00601374">
        <w:rPr>
          <w:b/>
          <w:lang w:eastAsia="en-US"/>
        </w:rPr>
        <w:t>:</w:t>
      </w:r>
      <w:r w:rsidR="00601374" w:rsidRPr="0065145B">
        <w:rPr>
          <w:b/>
          <w:lang w:eastAsia="en-US"/>
        </w:rPr>
        <w:t xml:space="preserve"> </w:t>
      </w:r>
      <w:r w:rsidR="00601374">
        <w:rPr>
          <w:b/>
          <w:lang w:eastAsia="en-US"/>
        </w:rPr>
        <w:t>To support multiple operator FBE system, synchronization across gNBs of different operators is needed.</w:t>
      </w:r>
    </w:p>
    <w:p w14:paraId="507667AC" w14:textId="77777777" w:rsidR="00601374"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p12 \h </w:instrText>
      </w:r>
      <w:r>
        <w:rPr>
          <w:sz w:val="22"/>
        </w:rPr>
      </w:r>
      <w:r>
        <w:rPr>
          <w:sz w:val="22"/>
        </w:rPr>
        <w:fldChar w:fldCharType="separate"/>
      </w:r>
      <w:r w:rsidR="00601374" w:rsidRPr="0065145B">
        <w:rPr>
          <w:b/>
          <w:lang w:eastAsia="en-US"/>
        </w:rPr>
        <w:t xml:space="preserve">Proposal </w:t>
      </w:r>
      <w:r w:rsidR="00601374">
        <w:rPr>
          <w:b/>
          <w:noProof/>
          <w:lang w:eastAsia="en-US"/>
        </w:rPr>
        <w:t>12</w:t>
      </w:r>
      <w:r w:rsidR="00601374">
        <w:rPr>
          <w:b/>
          <w:lang w:eastAsia="en-US"/>
        </w:rPr>
        <w:t>:</w:t>
      </w:r>
      <w:r w:rsidR="00601374" w:rsidRPr="0065145B">
        <w:rPr>
          <w:b/>
          <w:lang w:eastAsia="en-US"/>
        </w:rPr>
        <w:t xml:space="preserve"> </w:t>
      </w:r>
      <w:r w:rsidR="00601374">
        <w:rPr>
          <w:b/>
          <w:lang w:eastAsia="en-US"/>
        </w:rPr>
        <w:t>Contention slots are introduced for FBE channel access mechanism with cross operator contention coordination specified.</w:t>
      </w:r>
    </w:p>
    <w:p w14:paraId="4F6123C7" w14:textId="77777777" w:rsidR="00601374" w:rsidRPr="00601374" w:rsidRDefault="00F944B0" w:rsidP="00601374">
      <w:pPr>
        <w:kinsoku w:val="0"/>
        <w:wordWrap/>
        <w:overflowPunct w:val="0"/>
        <w:rPr>
          <w:rFonts w:ascii="Times New Roman"/>
          <w:b/>
          <w:snapToGrid w:val="0"/>
          <w:kern w:val="0"/>
          <w:szCs w:val="20"/>
          <w:lang w:val="en-GB" w:eastAsia="en-US"/>
        </w:rPr>
      </w:pPr>
      <w:r>
        <w:rPr>
          <w:sz w:val="22"/>
        </w:rPr>
        <w:fldChar w:fldCharType="end"/>
      </w:r>
      <w:r w:rsidR="00601374">
        <w:rPr>
          <w:sz w:val="22"/>
        </w:rPr>
        <w:fldChar w:fldCharType="begin"/>
      </w:r>
      <w:r w:rsidR="00601374">
        <w:rPr>
          <w:sz w:val="22"/>
        </w:rPr>
        <w:instrText xml:space="preserve"> REF p13 \h </w:instrText>
      </w:r>
      <w:r w:rsidR="00601374">
        <w:rPr>
          <w:sz w:val="22"/>
        </w:rPr>
      </w:r>
      <w:r w:rsidR="00601374">
        <w:rPr>
          <w:sz w:val="22"/>
        </w:rPr>
        <w:fldChar w:fldCharType="separate"/>
      </w:r>
      <w:r w:rsidR="00601374" w:rsidRPr="00601374">
        <w:rPr>
          <w:rFonts w:ascii="Times New Roman"/>
          <w:b/>
          <w:snapToGrid w:val="0"/>
          <w:kern w:val="0"/>
          <w:szCs w:val="20"/>
          <w:lang w:val="en-GB" w:eastAsia="en-US"/>
        </w:rPr>
        <w:t xml:space="preserve">Proposal </w:t>
      </w:r>
      <w:r w:rsidR="00601374">
        <w:rPr>
          <w:rFonts w:ascii="Times New Roman"/>
          <w:b/>
          <w:noProof/>
          <w:snapToGrid w:val="0"/>
          <w:kern w:val="0"/>
          <w:szCs w:val="20"/>
          <w:lang w:val="en-GB" w:eastAsia="en-US"/>
        </w:rPr>
        <w:t>13</w:t>
      </w:r>
      <w:r w:rsidR="00601374" w:rsidRPr="00601374">
        <w:rPr>
          <w:rFonts w:ascii="Times New Roman"/>
          <w:b/>
          <w:snapToGrid w:val="0"/>
          <w:kern w:val="0"/>
          <w:szCs w:val="20"/>
          <w:lang w:val="en-GB" w:eastAsia="en-US"/>
        </w:rPr>
        <w:t xml:space="preserve">: </w:t>
      </w:r>
      <w:r w:rsidR="00601374" w:rsidRPr="00601374">
        <w:rPr>
          <w:rFonts w:ascii="Times New Roman"/>
          <w:b/>
          <w:lang w:eastAsia="en-US"/>
        </w:rPr>
        <w:t>NR-U supports configuration of wide BWP consists of multiple subbands where gNB may transmit on a subset of the subbands.</w:t>
      </w:r>
    </w:p>
    <w:p w14:paraId="5164CA8E" w14:textId="5CA67590" w:rsidR="00437DE3" w:rsidRDefault="00601374" w:rsidP="00601374">
      <w:pPr>
        <w:kinsoku w:val="0"/>
        <w:wordWrap/>
        <w:overflowPunct w:val="0"/>
        <w:rPr>
          <w:sz w:val="22"/>
        </w:rPr>
      </w:pPr>
      <w:r>
        <w:rPr>
          <w:sz w:val="22"/>
        </w:rPr>
        <w:fldChar w:fldCharType="end"/>
      </w:r>
      <w:bookmarkStart w:id="27" w:name="_GoBack"/>
      <w:bookmarkEnd w:id="27"/>
    </w:p>
    <w:p w14:paraId="47A6B625" w14:textId="3D1C781A" w:rsidR="00E77804" w:rsidRDefault="00E77804" w:rsidP="00601374">
      <w:pPr>
        <w:pStyle w:val="Heading1"/>
        <w:kinsoku w:val="0"/>
        <w:spacing w:after="0"/>
      </w:pPr>
      <w:r>
        <w:lastRenderedPageBreak/>
        <w:t>References</w:t>
      </w:r>
    </w:p>
    <w:p w14:paraId="2DFA7387" w14:textId="09F1C9BA"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28"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29" w:name="_Hlk506208058"/>
      <w:r w:rsidR="001D3F02" w:rsidRPr="0099677A">
        <w:rPr>
          <w:b w:val="0"/>
          <w:sz w:val="20"/>
        </w:rPr>
        <w:t>”</w:t>
      </w:r>
      <w:r w:rsidR="00B559A2" w:rsidRPr="0099677A">
        <w:rPr>
          <w:b w:val="0"/>
          <w:sz w:val="20"/>
        </w:rPr>
        <w:t>, Qualcomm Incorporated, RAN#77</w:t>
      </w:r>
      <w:bookmarkEnd w:id="29"/>
      <w:r w:rsidR="00947B6C" w:rsidRPr="0099677A">
        <w:rPr>
          <w:b w:val="0"/>
          <w:sz w:val="20"/>
        </w:rPr>
        <w:t>, Sapporo, Japan, 11-14 Sep. 2017.</w:t>
      </w:r>
    </w:p>
    <w:p w14:paraId="5F79DCE6" w14:textId="77777777" w:rsidR="00C21996" w:rsidRDefault="00847992" w:rsidP="00601374">
      <w:pPr>
        <w:pStyle w:val="LGTdoc1"/>
        <w:kinsoku w:val="0"/>
        <w:overflowPunct w:val="0"/>
        <w:spacing w:before="120" w:after="0" w:afterAutospacing="0"/>
        <w:rPr>
          <w:b w:val="0"/>
          <w:sz w:val="20"/>
        </w:rPr>
      </w:pPr>
      <w:r w:rsidRPr="00522BEB">
        <w:rPr>
          <w:b w:val="0"/>
          <w:sz w:val="20"/>
        </w:rPr>
        <w:t>[2] RP-181339, “Revised SID on NR-based Access to Unlicensed Spectrum”, Qualcomm Incorporated, RAN#80, La Jolla, USA, June 11-14, 2018.</w:t>
      </w:r>
    </w:p>
    <w:p w14:paraId="64F80C46" w14:textId="034093FC" w:rsidR="003B7920" w:rsidRDefault="003B7920" w:rsidP="00601374">
      <w:pPr>
        <w:pStyle w:val="LGTdoc1"/>
        <w:kinsoku w:val="0"/>
        <w:overflowPunct w:val="0"/>
        <w:spacing w:before="120" w:after="0" w:afterAutospacing="0"/>
        <w:rPr>
          <w:b w:val="0"/>
          <w:sz w:val="20"/>
        </w:rPr>
      </w:pPr>
      <w:r>
        <w:rPr>
          <w:b w:val="0"/>
          <w:sz w:val="20"/>
        </w:rPr>
        <w:t>[</w:t>
      </w:r>
      <w:r w:rsidR="00847992">
        <w:rPr>
          <w:b w:val="0"/>
          <w:sz w:val="20"/>
        </w:rPr>
        <w:t>3</w:t>
      </w:r>
      <w:r>
        <w:rPr>
          <w:b w:val="0"/>
          <w:sz w:val="20"/>
        </w:rPr>
        <w:t>]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01CE2912" w:rsidR="0077537A" w:rsidRPr="0099677A" w:rsidRDefault="0077537A" w:rsidP="00601374">
      <w:pPr>
        <w:pStyle w:val="LGTdoc1"/>
        <w:kinsoku w:val="0"/>
        <w:overflowPunct w:val="0"/>
        <w:spacing w:before="120" w:after="0" w:afterAutospacing="0"/>
        <w:rPr>
          <w:b w:val="0"/>
          <w:sz w:val="20"/>
        </w:rPr>
      </w:pPr>
      <w:r>
        <w:rPr>
          <w:b w:val="0"/>
          <w:sz w:val="20"/>
        </w:rPr>
        <w:t>[</w:t>
      </w:r>
      <w:r w:rsidR="00847992">
        <w:rPr>
          <w:b w:val="0"/>
          <w:sz w:val="20"/>
        </w:rPr>
        <w:t>4</w:t>
      </w:r>
      <w:r>
        <w:rPr>
          <w:b w:val="0"/>
          <w:sz w:val="20"/>
        </w:rPr>
        <w:t>] R1-18</w:t>
      </w:r>
      <w:r w:rsidR="00D7190A">
        <w:rPr>
          <w:b w:val="0"/>
          <w:sz w:val="20"/>
        </w:rPr>
        <w:t>0</w:t>
      </w:r>
      <w:r w:rsidR="00876D6D">
        <w:rPr>
          <w:b w:val="0"/>
          <w:sz w:val="20"/>
        </w:rPr>
        <w:t>7389</w:t>
      </w:r>
      <w:r>
        <w:rPr>
          <w:b w:val="0"/>
          <w:sz w:val="20"/>
        </w:rPr>
        <w:t>, “</w:t>
      </w:r>
      <w:r w:rsidR="00876D6D" w:rsidRPr="00876D6D">
        <w:rPr>
          <w:b w:val="0"/>
          <w:sz w:val="20"/>
        </w:rPr>
        <w:t>Channel access procedures for NR unlicensed</w:t>
      </w:r>
      <w:r w:rsidRPr="0099677A">
        <w:rPr>
          <w:b w:val="0"/>
          <w:sz w:val="20"/>
        </w:rPr>
        <w:t>”, Qualcomm Incorporated, RAN</w:t>
      </w:r>
      <w:r>
        <w:rPr>
          <w:b w:val="0"/>
          <w:sz w:val="20"/>
        </w:rPr>
        <w:t>1#9</w:t>
      </w:r>
      <w:r w:rsidR="00876D6D">
        <w:rPr>
          <w:b w:val="0"/>
          <w:sz w:val="20"/>
        </w:rPr>
        <w:t>3</w:t>
      </w:r>
      <w:r w:rsidRPr="0099677A">
        <w:rPr>
          <w:b w:val="0"/>
          <w:sz w:val="20"/>
        </w:rPr>
        <w:t xml:space="preserve">, </w:t>
      </w:r>
      <w:r w:rsidR="00876D6D">
        <w:rPr>
          <w:b w:val="0"/>
          <w:sz w:val="20"/>
        </w:rPr>
        <w:t>Busan, Korea</w:t>
      </w:r>
    </w:p>
    <w:bookmarkEnd w:id="28"/>
    <w:p w14:paraId="54FCC4B1" w14:textId="06106E59" w:rsidR="003A4E18" w:rsidRPr="00C21996" w:rsidRDefault="003A4E18" w:rsidP="00601374">
      <w:pPr>
        <w:pStyle w:val="LGTdoc1"/>
        <w:kinsoku w:val="0"/>
        <w:overflowPunct w:val="0"/>
        <w:spacing w:before="120" w:after="0" w:afterAutospacing="0"/>
        <w:rPr>
          <w:b w:val="0"/>
          <w:sz w:val="20"/>
        </w:rPr>
      </w:pPr>
      <w:r w:rsidRPr="00C21996">
        <w:rPr>
          <w:b w:val="0"/>
          <w:sz w:val="20"/>
        </w:rPr>
        <w:t>[5] Chairman’s Notes RAN1 93 final, Busan, Korea, May 21–25, 2018.</w:t>
      </w:r>
    </w:p>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32"/>
      <w:footerReference w:type="default" r:id="rId3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493B" w14:textId="77777777" w:rsidR="002B0B35" w:rsidRDefault="002B0B35">
      <w:r>
        <w:separator/>
      </w:r>
    </w:p>
    <w:p w14:paraId="455E4509" w14:textId="77777777" w:rsidR="002B0B35" w:rsidRDefault="002B0B35"/>
    <w:p w14:paraId="4C8B33A0" w14:textId="77777777" w:rsidR="002B0B35" w:rsidRDefault="002B0B35"/>
  </w:endnote>
  <w:endnote w:type="continuationSeparator" w:id="0">
    <w:p w14:paraId="58D6B2E9" w14:textId="77777777" w:rsidR="002B0B35" w:rsidRDefault="002B0B35">
      <w:r>
        <w:continuationSeparator/>
      </w:r>
    </w:p>
    <w:p w14:paraId="3F9A838A" w14:textId="77777777" w:rsidR="002B0B35" w:rsidRDefault="002B0B35"/>
    <w:p w14:paraId="25B51861" w14:textId="77777777" w:rsidR="002B0B35" w:rsidRDefault="002B0B35"/>
  </w:endnote>
  <w:endnote w:type="continuationNotice" w:id="1">
    <w:p w14:paraId="397A4D00" w14:textId="77777777" w:rsidR="002B0B35" w:rsidRDefault="002B0B35"/>
    <w:p w14:paraId="23E8CC9F" w14:textId="77777777" w:rsidR="002B0B35" w:rsidRDefault="002B0B35"/>
    <w:p w14:paraId="34FEBE83" w14:textId="77777777" w:rsidR="002B0B35" w:rsidRDefault="002B0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5350C" w:rsidRDefault="0055350C">
    <w:pPr>
      <w:pStyle w:val="Footer"/>
    </w:pPr>
  </w:p>
  <w:p w14:paraId="18D3DFFA" w14:textId="77777777" w:rsidR="0055350C" w:rsidRDefault="0055350C"/>
  <w:p w14:paraId="59BFB364" w14:textId="77777777" w:rsidR="0055350C" w:rsidRDefault="005535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12FE">
      <w:rPr>
        <w:rStyle w:val="PageNumber"/>
        <w:noProof/>
      </w:rPr>
      <w:t>8</w:t>
    </w:r>
    <w:r>
      <w:rPr>
        <w:rStyle w:val="PageNumber"/>
      </w:rPr>
      <w:fldChar w:fldCharType="end"/>
    </w:r>
  </w:p>
  <w:p w14:paraId="5BFA00B5" w14:textId="77777777" w:rsidR="0055350C" w:rsidRDefault="0055350C">
    <w:pPr>
      <w:pStyle w:val="Footer"/>
    </w:pPr>
  </w:p>
  <w:p w14:paraId="1283C71A" w14:textId="77777777" w:rsidR="0055350C" w:rsidRDefault="0055350C"/>
  <w:p w14:paraId="37DDCC24" w14:textId="77777777" w:rsidR="0055350C" w:rsidRDefault="005535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6C88" w14:textId="77777777" w:rsidR="002B0B35" w:rsidRDefault="002B0B35">
      <w:r>
        <w:separator/>
      </w:r>
    </w:p>
    <w:p w14:paraId="15E9687D" w14:textId="77777777" w:rsidR="002B0B35" w:rsidRDefault="002B0B35"/>
    <w:p w14:paraId="365A3709" w14:textId="77777777" w:rsidR="002B0B35" w:rsidRDefault="002B0B35"/>
  </w:footnote>
  <w:footnote w:type="continuationSeparator" w:id="0">
    <w:p w14:paraId="5C190FE2" w14:textId="77777777" w:rsidR="002B0B35" w:rsidRDefault="002B0B35">
      <w:r>
        <w:continuationSeparator/>
      </w:r>
    </w:p>
    <w:p w14:paraId="48834670" w14:textId="77777777" w:rsidR="002B0B35" w:rsidRDefault="002B0B35"/>
    <w:p w14:paraId="6F3221C2" w14:textId="77777777" w:rsidR="002B0B35" w:rsidRDefault="002B0B35"/>
  </w:footnote>
  <w:footnote w:type="continuationNotice" w:id="1">
    <w:p w14:paraId="255354B9" w14:textId="77777777" w:rsidR="002B0B35" w:rsidRDefault="002B0B35"/>
    <w:p w14:paraId="08E614F4" w14:textId="77777777" w:rsidR="002B0B35" w:rsidRDefault="002B0B35"/>
    <w:p w14:paraId="7DBE7CA6" w14:textId="77777777" w:rsidR="002B0B35" w:rsidRDefault="002B0B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1"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0"/>
  </w:num>
  <w:num w:numId="2">
    <w:abstractNumId w:val="6"/>
  </w:num>
  <w:num w:numId="3">
    <w:abstractNumId w:val="22"/>
  </w:num>
  <w:num w:numId="4">
    <w:abstractNumId w:val="33"/>
  </w:num>
  <w:num w:numId="5">
    <w:abstractNumId w:val="35"/>
  </w:num>
  <w:num w:numId="6">
    <w:abstractNumId w:val="1"/>
  </w:num>
  <w:num w:numId="7">
    <w:abstractNumId w:val="36"/>
  </w:num>
  <w:num w:numId="8">
    <w:abstractNumId w:val="30"/>
  </w:num>
  <w:num w:numId="9">
    <w:abstractNumId w:val="27"/>
  </w:num>
  <w:num w:numId="10">
    <w:abstractNumId w:val="28"/>
  </w:num>
  <w:num w:numId="11">
    <w:abstractNumId w:val="21"/>
  </w:num>
  <w:num w:numId="12">
    <w:abstractNumId w:val="19"/>
  </w:num>
  <w:num w:numId="13">
    <w:abstractNumId w:val="0"/>
  </w:num>
  <w:num w:numId="14">
    <w:abstractNumId w:val="9"/>
  </w:num>
  <w:num w:numId="15">
    <w:abstractNumId w:val="8"/>
  </w:num>
  <w:num w:numId="16">
    <w:abstractNumId w:val="31"/>
  </w:num>
  <w:num w:numId="17">
    <w:abstractNumId w:val="17"/>
  </w:num>
  <w:num w:numId="18">
    <w:abstractNumId w:val="5"/>
  </w:num>
  <w:num w:numId="19">
    <w:abstractNumId w:val="23"/>
  </w:num>
  <w:num w:numId="20">
    <w:abstractNumId w:val="24"/>
  </w:num>
  <w:num w:numId="21">
    <w:abstractNumId w:val="11"/>
  </w:num>
  <w:num w:numId="22">
    <w:abstractNumId w:val="2"/>
  </w:num>
  <w:num w:numId="23">
    <w:abstractNumId w:val="12"/>
  </w:num>
  <w:num w:numId="24">
    <w:abstractNumId w:val="4"/>
  </w:num>
  <w:num w:numId="25">
    <w:abstractNumId w:val="26"/>
  </w:num>
  <w:num w:numId="26">
    <w:abstractNumId w:val="3"/>
  </w:num>
  <w:num w:numId="27">
    <w:abstractNumId w:val="15"/>
  </w:num>
  <w:num w:numId="28">
    <w:abstractNumId w:val="18"/>
  </w:num>
  <w:num w:numId="29">
    <w:abstractNumId w:val="32"/>
  </w:num>
  <w:num w:numId="30">
    <w:abstractNumId w:val="13"/>
  </w:num>
  <w:num w:numId="31">
    <w:abstractNumId w:val="29"/>
  </w:num>
  <w:num w:numId="32">
    <w:abstractNumId w:val="14"/>
  </w:num>
  <w:num w:numId="33">
    <w:abstractNumId w:val="34"/>
  </w:num>
  <w:num w:numId="34">
    <w:abstractNumId w:val="25"/>
  </w:num>
  <w:num w:numId="35">
    <w:abstractNumId w:val="20"/>
  </w:num>
  <w:num w:numId="36">
    <w:abstractNumId w:val="16"/>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jp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jpg"/><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3EQ6UJ4K66FU-4-33172</_dlc_DocId>
    <_dlc_DocIdUrl xmlns="df4eea7b-52db-4162-980b-b352f1b580a3">
      <Url>https://projects.qualcomm.com/sites/meridian/_layouts/15/DocIdRedir.aspx?ID=3EQ6UJ4K66FU-4-33172</Url>
      <Description>3EQ6UJ4K66FU-4-33172</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terms/"/>
  </ds:schemaRefs>
</ds:datastoreItem>
</file>

<file path=customXml/itemProps2.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4EF54381-A3A4-4656-BF26-17CAA977F6B9}">
  <ds:schemaRefs>
    <ds:schemaRef ds:uri="http://schemas.openxmlformats.org/officeDocument/2006/bibliography"/>
  </ds:schemaRefs>
</ds:datastoreItem>
</file>

<file path=customXml/itemProps6.xml><?xml version="1.0" encoding="utf-8"?>
<ds:datastoreItem xmlns:ds="http://schemas.openxmlformats.org/officeDocument/2006/customXml" ds:itemID="{2177829F-A6C0-4050-80CB-8DF125C1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4151</TotalTime>
  <Pages>12</Pages>
  <Words>5433</Words>
  <Characters>29260</Characters>
  <Application>Microsoft Office Word</Application>
  <DocSecurity>0</DocSecurity>
  <Lines>243</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111</cp:revision>
  <cp:lastPrinted>2010-08-13T21:54:00Z</cp:lastPrinted>
  <dcterms:created xsi:type="dcterms:W3CDTF">2017-12-19T08:06:00Z</dcterms:created>
  <dcterms:modified xsi:type="dcterms:W3CDTF">2018-09-28T23:48:00Z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735d9e82-6a5a-45d7-bd6a-43f617b15ec0</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